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2" w:type="dxa"/>
        <w:tblInd w:w="-43" w:type="dxa"/>
        <w:tblLayout w:type="fixed"/>
        <w:tblCellMar>
          <w:left w:w="10" w:type="dxa"/>
          <w:right w:w="10" w:type="dxa"/>
        </w:tblCellMar>
        <w:tblLook w:val="04A0" w:firstRow="1" w:lastRow="0" w:firstColumn="1" w:lastColumn="0" w:noHBand="0" w:noVBand="1"/>
      </w:tblPr>
      <w:tblGrid>
        <w:gridCol w:w="718"/>
        <w:gridCol w:w="5656"/>
        <w:gridCol w:w="3438"/>
      </w:tblGrid>
      <w:tr w:rsidR="00363EA9" w:rsidTr="006D0D69">
        <w:tblPrEx>
          <w:tblCellMar>
            <w:top w:w="0" w:type="dxa"/>
            <w:bottom w:w="0" w:type="dxa"/>
          </w:tblCellMar>
        </w:tblPrEx>
        <w:trPr>
          <w:trHeight w:val="482"/>
          <w:tblHeader/>
        </w:trPr>
        <w:tc>
          <w:tcPr>
            <w:tcW w:w="9782" w:type="dxa"/>
            <w:gridSpan w:val="3"/>
            <w:tcBorders>
              <w:bottom w:val="single" w:sz="12" w:space="0" w:color="000000"/>
            </w:tcBorders>
            <w:tcMar>
              <w:top w:w="0" w:type="dxa"/>
              <w:left w:w="28" w:type="dxa"/>
              <w:bottom w:w="0" w:type="dxa"/>
              <w:right w:w="28" w:type="dxa"/>
            </w:tcMar>
            <w:vAlign w:val="center"/>
          </w:tcPr>
          <w:p w:rsidR="00363EA9" w:rsidRDefault="00363EA9" w:rsidP="006D0D69">
            <w:pPr>
              <w:pStyle w:val="Standard"/>
              <w:widowControl/>
              <w:spacing w:line="400" w:lineRule="exact"/>
              <w:ind w:left="-770" w:firstLine="643"/>
              <w:jc w:val="center"/>
            </w:pPr>
            <w:r>
              <w:rPr>
                <w:rFonts w:ascii="標楷體" w:eastAsia="標楷體" w:hAnsi="標楷體" w:cs="新細明體, PMingLiU"/>
                <w:bCs/>
                <w:sz w:val="32"/>
                <w:szCs w:val="32"/>
                <w:u w:val="single"/>
              </w:rPr>
              <w:t>宜蘭縣</w:t>
            </w:r>
            <w:r>
              <w:rPr>
                <w:rFonts w:ascii="標楷體" w:eastAsia="標楷體" w:hAnsi="標楷體" w:cs="新細明體, PMingLiU"/>
                <w:bCs/>
                <w:spacing w:val="-10"/>
                <w:sz w:val="32"/>
                <w:szCs w:val="32"/>
                <w:u w:val="single"/>
              </w:rPr>
              <w:t>政府採購稽核小組</w:t>
            </w:r>
          </w:p>
          <w:p w:rsidR="00363EA9" w:rsidRDefault="00363EA9" w:rsidP="006D0D69">
            <w:pPr>
              <w:pStyle w:val="a3"/>
              <w:tabs>
                <w:tab w:val="left" w:pos="281"/>
                <w:tab w:val="left" w:pos="1721"/>
              </w:tabs>
              <w:spacing w:line="500" w:lineRule="exact"/>
              <w:ind w:left="281" w:firstLine="0"/>
              <w:jc w:val="center"/>
            </w:pPr>
            <w:r>
              <w:rPr>
                <w:rFonts w:ascii="標楷體" w:hAnsi="標楷體" w:cs="標楷體"/>
              </w:rPr>
              <w:t>104年度稽核監督所見錯誤行為態樣彙整表</w:t>
            </w:r>
          </w:p>
        </w:tc>
      </w:tr>
      <w:tr w:rsidR="00363EA9" w:rsidTr="006D0D69">
        <w:tblPrEx>
          <w:tblCellMar>
            <w:top w:w="0" w:type="dxa"/>
            <w:bottom w:w="0" w:type="dxa"/>
          </w:tblCellMar>
        </w:tblPrEx>
        <w:trPr>
          <w:trHeight w:val="482"/>
          <w:tblHeader/>
        </w:trPr>
        <w:tc>
          <w:tcPr>
            <w:tcW w:w="716" w:type="dxa"/>
            <w:tcBorders>
              <w:top w:val="single" w:sz="12" w:space="0" w:color="000000"/>
              <w:left w:val="single" w:sz="12" w:space="0" w:color="000000"/>
              <w:bottom w:val="single" w:sz="12" w:space="0" w:color="000000"/>
            </w:tcBorders>
            <w:shd w:val="clear" w:color="auto" w:fill="CCFFFF"/>
            <w:tcMar>
              <w:top w:w="0" w:type="dxa"/>
              <w:left w:w="28" w:type="dxa"/>
              <w:bottom w:w="0" w:type="dxa"/>
              <w:right w:w="28" w:type="dxa"/>
            </w:tcMar>
            <w:vAlign w:val="center"/>
          </w:tcPr>
          <w:p w:rsidR="00363EA9" w:rsidRDefault="00363EA9" w:rsidP="006D0D69">
            <w:pPr>
              <w:pStyle w:val="Standard"/>
              <w:widowControl/>
              <w:jc w:val="center"/>
              <w:rPr>
                <w:rFonts w:ascii="標楷體" w:eastAsia="標楷體" w:hAnsi="標楷體" w:cs="新細明體, PMingLiU"/>
                <w:bCs/>
              </w:rPr>
            </w:pPr>
            <w:r>
              <w:rPr>
                <w:rFonts w:ascii="標楷體" w:eastAsia="標楷體" w:hAnsi="標楷體" w:cs="新細明體, PMingLiU"/>
                <w:bCs/>
              </w:rPr>
              <w:t>項次</w:t>
            </w:r>
          </w:p>
        </w:tc>
        <w:tc>
          <w:tcPr>
            <w:tcW w:w="5639" w:type="dxa"/>
            <w:tcBorders>
              <w:top w:val="single" w:sz="12" w:space="0" w:color="000000"/>
              <w:left w:val="single" w:sz="4" w:space="0" w:color="000000"/>
              <w:bottom w:val="single" w:sz="12" w:space="0" w:color="000000"/>
            </w:tcBorders>
            <w:shd w:val="clear" w:color="auto" w:fill="CCFFFF"/>
            <w:tcMar>
              <w:top w:w="0" w:type="dxa"/>
              <w:left w:w="28" w:type="dxa"/>
              <w:bottom w:w="0" w:type="dxa"/>
              <w:right w:w="28" w:type="dxa"/>
            </w:tcMar>
            <w:vAlign w:val="center"/>
          </w:tcPr>
          <w:p w:rsidR="00363EA9" w:rsidRDefault="00363EA9" w:rsidP="006D0D69">
            <w:pPr>
              <w:pStyle w:val="Standard"/>
              <w:widowControl/>
              <w:jc w:val="center"/>
              <w:rPr>
                <w:rFonts w:ascii="標楷體" w:eastAsia="標楷體" w:hAnsi="標楷體" w:cs="新細明體, PMingLiU"/>
                <w:bCs/>
              </w:rPr>
            </w:pPr>
            <w:r>
              <w:rPr>
                <w:rFonts w:ascii="標楷體" w:eastAsia="標楷體" w:hAnsi="標楷體" w:cs="新細明體, PMingLiU"/>
                <w:bCs/>
              </w:rPr>
              <w:t>錯誤行為態樣</w:t>
            </w:r>
          </w:p>
        </w:tc>
        <w:tc>
          <w:tcPr>
            <w:tcW w:w="3427" w:type="dxa"/>
            <w:tcBorders>
              <w:top w:val="single" w:sz="12" w:space="0" w:color="000000"/>
              <w:left w:val="single" w:sz="4" w:space="0" w:color="000000"/>
              <w:bottom w:val="single" w:sz="12" w:space="0" w:color="000000"/>
              <w:right w:val="single" w:sz="12" w:space="0" w:color="000000"/>
            </w:tcBorders>
            <w:shd w:val="clear" w:color="auto" w:fill="CCFFFF"/>
            <w:tcMar>
              <w:top w:w="0" w:type="dxa"/>
              <w:left w:w="28" w:type="dxa"/>
              <w:bottom w:w="0" w:type="dxa"/>
              <w:right w:w="28" w:type="dxa"/>
            </w:tcMar>
            <w:vAlign w:val="center"/>
          </w:tcPr>
          <w:p w:rsidR="00363EA9" w:rsidRDefault="00363EA9" w:rsidP="006D0D69">
            <w:pPr>
              <w:pStyle w:val="Standard"/>
              <w:widowControl/>
              <w:jc w:val="center"/>
              <w:rPr>
                <w:rFonts w:ascii="標楷體" w:eastAsia="標楷體" w:hAnsi="標楷體" w:cs="新細明體, PMingLiU"/>
                <w:bCs/>
              </w:rPr>
            </w:pPr>
            <w:r>
              <w:rPr>
                <w:rFonts w:ascii="標楷體" w:eastAsia="標楷體" w:hAnsi="標楷體" w:cs="新細明體, PMingLiU"/>
                <w:bCs/>
              </w:rPr>
              <w:t>依據法令</w:t>
            </w:r>
          </w:p>
        </w:tc>
      </w:tr>
      <w:tr w:rsidR="00363EA9" w:rsidTr="006D0D69">
        <w:tblPrEx>
          <w:tblCellMar>
            <w:top w:w="0" w:type="dxa"/>
            <w:bottom w:w="0" w:type="dxa"/>
          </w:tblCellMar>
        </w:tblPrEx>
        <w:trPr>
          <w:trHeight w:val="518"/>
        </w:trPr>
        <w:tc>
          <w:tcPr>
            <w:tcW w:w="9782" w:type="dxa"/>
            <w:gridSpan w:val="3"/>
            <w:tcBorders>
              <w:top w:val="single" w:sz="12" w:space="0" w:color="000000"/>
              <w:left w:val="single" w:sz="12" w:space="0" w:color="000000"/>
              <w:bottom w:val="single" w:sz="4" w:space="0" w:color="000000"/>
              <w:right w:val="single" w:sz="12" w:space="0" w:color="000000"/>
            </w:tcBorders>
            <w:shd w:val="clear" w:color="auto" w:fill="CCFFCC"/>
            <w:tcMar>
              <w:top w:w="0" w:type="dxa"/>
              <w:left w:w="28" w:type="dxa"/>
              <w:bottom w:w="0" w:type="dxa"/>
              <w:right w:w="28" w:type="dxa"/>
            </w:tcMar>
            <w:vAlign w:val="center"/>
          </w:tcPr>
          <w:p w:rsidR="00363EA9" w:rsidRDefault="00363EA9" w:rsidP="006D0D69">
            <w:pPr>
              <w:pStyle w:val="Standard"/>
              <w:widowControl/>
              <w:jc w:val="both"/>
              <w:rPr>
                <w:rFonts w:ascii="標楷體" w:eastAsia="標楷體" w:hAnsi="標楷體" w:cs="新細明體, PMingLiU"/>
                <w:b/>
                <w:bCs/>
              </w:rPr>
            </w:pPr>
            <w:r>
              <w:rPr>
                <w:rFonts w:ascii="標楷體" w:eastAsia="標楷體" w:hAnsi="標楷體" w:cs="新細明體, PMingLiU"/>
                <w:b/>
                <w:bCs/>
              </w:rPr>
              <w:t>一、招標階段</w:t>
            </w:r>
          </w:p>
        </w:tc>
      </w:tr>
      <w:tr w:rsidR="00363EA9" w:rsidTr="006D0D69">
        <w:tblPrEx>
          <w:tblCellMar>
            <w:top w:w="0" w:type="dxa"/>
            <w:bottom w:w="0" w:type="dxa"/>
          </w:tblCellMar>
        </w:tblPrEx>
        <w:trPr>
          <w:trHeight w:val="1299"/>
        </w:trPr>
        <w:tc>
          <w:tcPr>
            <w:tcW w:w="716" w:type="dxa"/>
            <w:tcBorders>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1</w:t>
            </w:r>
          </w:p>
        </w:tc>
        <w:tc>
          <w:tcPr>
            <w:tcW w:w="5639" w:type="dxa"/>
            <w:tcBorders>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Standard"/>
              <w:snapToGrid w:val="0"/>
              <w:spacing w:line="340" w:lineRule="exact"/>
              <w:jc w:val="both"/>
            </w:pPr>
            <w:r>
              <w:rPr>
                <w:rFonts w:ascii="標楷體" w:eastAsia="標楷體" w:hAnsi="標楷體" w:cs="標楷體"/>
              </w:rPr>
              <w:t>招標文件中之履約條款違反公平合理原則，例如：機關於契約訂定「採減價收受者，按不符項目標的之契約價金</w:t>
            </w:r>
            <w:r>
              <w:rPr>
                <w:rFonts w:ascii="標楷體" w:eastAsia="標楷體" w:hAnsi="標楷體" w:cs="標楷體"/>
                <w:u w:val="single"/>
              </w:rPr>
              <w:t xml:space="preserve">100 </w:t>
            </w:r>
            <w:r>
              <w:rPr>
                <w:rFonts w:ascii="標楷體" w:eastAsia="標楷體" w:hAnsi="標楷體" w:cs="標楷體"/>
              </w:rPr>
              <w:t>% 減價，並處以減價金額</w:t>
            </w:r>
            <w:r>
              <w:rPr>
                <w:rFonts w:ascii="標楷體" w:eastAsia="標楷體" w:hAnsi="標楷體" w:cs="標楷體"/>
                <w:u w:val="single"/>
              </w:rPr>
              <w:t>＿200＿</w:t>
            </w:r>
            <w:r>
              <w:rPr>
                <w:rFonts w:ascii="標楷體" w:eastAsia="標楷體" w:hAnsi="標楷體" w:cs="標楷體"/>
              </w:rPr>
              <w:t>%之違約金」，未注意</w:t>
            </w:r>
            <w:r>
              <w:rPr>
                <w:rFonts w:ascii="標楷體" w:eastAsia="標楷體" w:hAnsi="標楷體" w:cs="標楷體"/>
                <w:bCs/>
              </w:rPr>
              <w:t>比例原則與</w:t>
            </w:r>
            <w:r>
              <w:rPr>
                <w:rFonts w:ascii="標楷體" w:eastAsia="標楷體" w:hAnsi="標楷體" w:cs="標楷體"/>
              </w:rPr>
              <w:t>契約同條「減價及違約金之總額，以該項目之契約價金為限」之規定。</w:t>
            </w:r>
          </w:p>
        </w:tc>
        <w:tc>
          <w:tcPr>
            <w:tcW w:w="3427" w:type="dxa"/>
            <w:tcBorders>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snapToGrid w:val="0"/>
              <w:spacing w:line="340" w:lineRule="exact"/>
              <w:jc w:val="both"/>
              <w:rPr>
                <w:rFonts w:ascii="標楷體" w:eastAsia="標楷體" w:hAnsi="標楷體" w:cs="標楷體"/>
              </w:rPr>
            </w:pPr>
            <w:r>
              <w:rPr>
                <w:rFonts w:ascii="標楷體" w:eastAsia="標楷體" w:hAnsi="標楷體" w:cs="標楷體"/>
              </w:rPr>
              <w:t>政府採購錯誤行為態樣一、（十）</w:t>
            </w:r>
          </w:p>
        </w:tc>
      </w:tr>
      <w:tr w:rsidR="00363EA9" w:rsidTr="006D0D69">
        <w:tblPrEx>
          <w:tblCellMar>
            <w:top w:w="0" w:type="dxa"/>
            <w:bottom w:w="0" w:type="dxa"/>
          </w:tblCellMar>
        </w:tblPrEx>
        <w:trPr>
          <w:trHeight w:val="1299"/>
        </w:trPr>
        <w:tc>
          <w:tcPr>
            <w:tcW w:w="716" w:type="dxa"/>
            <w:tcBorders>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2</w:t>
            </w:r>
          </w:p>
        </w:tc>
        <w:tc>
          <w:tcPr>
            <w:tcW w:w="5639" w:type="dxa"/>
            <w:tcBorders>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採固定價格給付之案件，招標前未依據規定，就案件特性及實際需要，考量委託服務內容之多寡、難易度及所需工作人力之薪資行情等條件，分析該固定費用之合理性。</w:t>
            </w:r>
          </w:p>
        </w:tc>
        <w:tc>
          <w:tcPr>
            <w:tcW w:w="3427" w:type="dxa"/>
            <w:tcBorders>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標楷體"/>
              </w:rPr>
              <w:t>工程會</w:t>
            </w:r>
            <w:r>
              <w:rPr>
                <w:rFonts w:ascii="標楷體" w:eastAsia="標楷體" w:hAnsi="標楷體" w:cs="新細明體, PMingLiU"/>
              </w:rPr>
              <w:t>99年4月14日工程企字第09900145930號函</w:t>
            </w:r>
          </w:p>
        </w:tc>
      </w:tr>
      <w:tr w:rsidR="00363EA9" w:rsidTr="006D0D69">
        <w:tblPrEx>
          <w:tblCellMar>
            <w:top w:w="0" w:type="dxa"/>
            <w:bottom w:w="0" w:type="dxa"/>
          </w:tblCellMar>
        </w:tblPrEx>
        <w:trPr>
          <w:trHeight w:val="1299"/>
        </w:trPr>
        <w:tc>
          <w:tcPr>
            <w:tcW w:w="716" w:type="dxa"/>
            <w:tcBorders>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3</w:t>
            </w:r>
          </w:p>
        </w:tc>
        <w:tc>
          <w:tcPr>
            <w:tcW w:w="5639" w:type="dxa"/>
            <w:tcBorders>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snapToGrid w:val="0"/>
              <w:spacing w:line="340" w:lineRule="exact"/>
              <w:jc w:val="both"/>
            </w:pPr>
            <w:r>
              <w:rPr>
                <w:rFonts w:ascii="標楷體" w:eastAsia="標楷體" w:hAnsi="標楷體" w:cs="標楷體"/>
              </w:rPr>
              <w:t>招標文件規範內容核欠妥適，例如：招標文件載有廠商須攜帶與「承攬工程手冊等」相同之印鑑前往開標，將造成廠商於同時間內只能在各機關投一個標，並不合理；另請留意經濟部商業司已取消公司印鑑登記制度。</w:t>
            </w:r>
          </w:p>
        </w:tc>
        <w:tc>
          <w:tcPr>
            <w:tcW w:w="3427" w:type="dxa"/>
            <w:tcBorders>
              <w:left w:val="single" w:sz="4" w:space="0" w:color="000000"/>
              <w:bottom w:val="single" w:sz="4" w:space="0" w:color="000000"/>
              <w:right w:val="single" w:sz="12" w:space="0" w:color="000000"/>
            </w:tcBorders>
            <w:tcMar>
              <w:top w:w="0" w:type="dxa"/>
              <w:left w:w="28" w:type="dxa"/>
              <w:bottom w:w="0" w:type="dxa"/>
              <w:right w:w="28" w:type="dxa"/>
            </w:tcMar>
          </w:tcPr>
          <w:p w:rsidR="00363EA9" w:rsidRDefault="00363EA9" w:rsidP="006D0D69">
            <w:pPr>
              <w:pStyle w:val="Standard"/>
              <w:widowControl/>
              <w:snapToGrid w:val="0"/>
              <w:jc w:val="both"/>
              <w:rPr>
                <w:rFonts w:ascii="標楷體" w:eastAsia="標楷體" w:hAnsi="標楷體" w:cs="標楷體"/>
                <w:color w:val="000000"/>
              </w:rPr>
            </w:pPr>
          </w:p>
          <w:p w:rsidR="00363EA9" w:rsidRDefault="00363EA9" w:rsidP="006D0D69">
            <w:pPr>
              <w:pStyle w:val="Standard"/>
              <w:widowControl/>
              <w:jc w:val="both"/>
            </w:pPr>
            <w:r>
              <w:rPr>
                <w:rFonts w:ascii="標楷體" w:eastAsia="標楷體" w:hAnsi="標楷體" w:cs="標楷體"/>
              </w:rPr>
              <w:t>工程會89年3月17日工程企字第89007258號函。</w:t>
            </w:r>
          </w:p>
        </w:tc>
      </w:tr>
      <w:tr w:rsidR="00363EA9" w:rsidTr="006D0D69">
        <w:tblPrEx>
          <w:tblCellMar>
            <w:top w:w="0" w:type="dxa"/>
            <w:bottom w:w="0" w:type="dxa"/>
          </w:tblCellMar>
        </w:tblPrEx>
        <w:trPr>
          <w:trHeight w:val="1299"/>
        </w:trPr>
        <w:tc>
          <w:tcPr>
            <w:tcW w:w="716" w:type="dxa"/>
            <w:tcBorders>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4</w:t>
            </w:r>
          </w:p>
        </w:tc>
        <w:tc>
          <w:tcPr>
            <w:tcW w:w="5639" w:type="dxa"/>
            <w:tcBorders>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Standard"/>
              <w:snapToGrid w:val="0"/>
              <w:spacing w:line="340" w:lineRule="exact"/>
              <w:jc w:val="both"/>
            </w:pPr>
            <w:r>
              <w:rPr>
                <w:rFonts w:ascii="標楷體" w:eastAsia="標楷體" w:hAnsi="標楷體" w:cs="標楷體"/>
              </w:rPr>
              <w:t>受理廠商申訴(未達公告金額之採購不適用申訴制度) 或履約爭議調解(無金額限制)之採購申訴審議委員會名稱、地址及電話誤植為異（疑）議機關。</w:t>
            </w:r>
          </w:p>
        </w:tc>
        <w:tc>
          <w:tcPr>
            <w:tcW w:w="3427" w:type="dxa"/>
            <w:tcBorders>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widowControl/>
              <w:jc w:val="both"/>
              <w:rPr>
                <w:rFonts w:ascii="標楷體" w:eastAsia="標楷體" w:hAnsi="標楷體" w:cs="標楷體"/>
              </w:rPr>
            </w:pPr>
            <w:r>
              <w:rPr>
                <w:rFonts w:ascii="標楷體" w:eastAsia="標楷體" w:hAnsi="標楷體" w:cs="標楷體"/>
              </w:rPr>
              <w:t>採購申訴審議規則第2條、採購履約爭議規則第2條</w:t>
            </w:r>
          </w:p>
        </w:tc>
      </w:tr>
      <w:tr w:rsidR="00363EA9" w:rsidTr="006D0D69">
        <w:tblPrEx>
          <w:tblCellMar>
            <w:top w:w="0" w:type="dxa"/>
            <w:bottom w:w="0" w:type="dxa"/>
          </w:tblCellMar>
        </w:tblPrEx>
        <w:trPr>
          <w:trHeight w:val="1299"/>
        </w:trPr>
        <w:tc>
          <w:tcPr>
            <w:tcW w:w="716" w:type="dxa"/>
            <w:tcBorders>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5</w:t>
            </w:r>
          </w:p>
        </w:tc>
        <w:tc>
          <w:tcPr>
            <w:tcW w:w="5639" w:type="dxa"/>
            <w:tcBorders>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Standard"/>
              <w:snapToGrid w:val="0"/>
              <w:spacing w:line="340" w:lineRule="exact"/>
              <w:jc w:val="both"/>
              <w:rPr>
                <w:rFonts w:ascii="標楷體" w:eastAsia="標楷體" w:hAnsi="標楷體" w:cs="標楷體"/>
              </w:rPr>
            </w:pPr>
            <w:r>
              <w:rPr>
                <w:rFonts w:ascii="標楷體" w:eastAsia="標楷體" w:hAnsi="標楷體" w:cs="標楷體"/>
              </w:rPr>
              <w:t>未採用行政院公共工程委員會最新訂頒之各類採購契約範本，致錯漏頻生。</w:t>
            </w:r>
          </w:p>
        </w:tc>
        <w:tc>
          <w:tcPr>
            <w:tcW w:w="3427" w:type="dxa"/>
            <w:tcBorders>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snapToGrid w:val="0"/>
              <w:spacing w:line="340" w:lineRule="exact"/>
              <w:jc w:val="both"/>
              <w:rPr>
                <w:rFonts w:ascii="標楷體" w:eastAsia="標楷體" w:hAnsi="標楷體" w:cs="標楷體"/>
              </w:rPr>
            </w:pPr>
            <w:r>
              <w:rPr>
                <w:rFonts w:ascii="標楷體" w:eastAsia="標楷體" w:hAnsi="標楷體" w:cs="標楷體"/>
              </w:rPr>
              <w:t>政府採購錯誤行為態樣一、(十七)</w:t>
            </w:r>
          </w:p>
        </w:tc>
      </w:tr>
      <w:tr w:rsidR="00363EA9" w:rsidTr="006D0D69">
        <w:tblPrEx>
          <w:tblCellMar>
            <w:top w:w="0" w:type="dxa"/>
            <w:bottom w:w="0" w:type="dxa"/>
          </w:tblCellMar>
        </w:tblPrEx>
        <w:trPr>
          <w:trHeight w:val="1299"/>
        </w:trPr>
        <w:tc>
          <w:tcPr>
            <w:tcW w:w="716" w:type="dxa"/>
            <w:tcBorders>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6</w:t>
            </w:r>
          </w:p>
        </w:tc>
        <w:tc>
          <w:tcPr>
            <w:tcW w:w="5639" w:type="dxa"/>
            <w:tcBorders>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標楷體"/>
              </w:rPr>
              <w:t>未依採購法施行細則第23條之1第1項規定：「由需求、使用或承辦採購單位，就個案敘明符合各款之情形，簽報機關首長或其授權人員核准」，僅照錄各款文字，例如：僅敘明擬依政府採購法第22條第1項第9款規定辦理限制性招標。</w:t>
            </w:r>
          </w:p>
        </w:tc>
        <w:tc>
          <w:tcPr>
            <w:tcW w:w="3427" w:type="dxa"/>
            <w:tcBorders>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政府採購法第22條第1項各款執行錯誤態樣各款（二）</w:t>
            </w:r>
          </w:p>
        </w:tc>
      </w:tr>
      <w:tr w:rsidR="00363EA9" w:rsidTr="006D0D69">
        <w:tblPrEx>
          <w:tblCellMar>
            <w:top w:w="0" w:type="dxa"/>
            <w:bottom w:w="0" w:type="dxa"/>
          </w:tblCellMar>
        </w:tblPrEx>
        <w:trPr>
          <w:trHeight w:val="1513"/>
        </w:trPr>
        <w:tc>
          <w:tcPr>
            <w:tcW w:w="716" w:type="dxa"/>
            <w:tcBorders>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7</w:t>
            </w:r>
          </w:p>
        </w:tc>
        <w:tc>
          <w:tcPr>
            <w:tcW w:w="5639" w:type="dxa"/>
            <w:tcBorders>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新細明體, PMingLiU"/>
              </w:rPr>
              <w:t>招</w:t>
            </w:r>
            <w:r>
              <w:rPr>
                <w:rFonts w:ascii="標楷體" w:eastAsia="標楷體" w:hAnsi="標楷體" w:cs="標楷體"/>
              </w:rPr>
              <w:t>標文件中之資料錯誤，例如：投標須知投標文件送達地點前後矛盾；引用過時或失效之資料「營利事業登記證」；投標須知與契約條款不同等。</w:t>
            </w:r>
          </w:p>
        </w:tc>
        <w:tc>
          <w:tcPr>
            <w:tcW w:w="3427" w:type="dxa"/>
            <w:tcBorders>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tabs>
                <w:tab w:val="left" w:pos="3627"/>
              </w:tabs>
              <w:jc w:val="both"/>
              <w:rPr>
                <w:rFonts w:ascii="標楷體" w:eastAsia="標楷體" w:hAnsi="標楷體" w:cs="新細明體, PMingLiU"/>
              </w:rPr>
            </w:pPr>
            <w:r>
              <w:rPr>
                <w:rFonts w:ascii="標楷體" w:eastAsia="標楷體" w:hAnsi="標楷體" w:cs="新細明體, PMingLiU"/>
              </w:rPr>
              <w:t>政府採購錯誤行為態樣一、（九）</w:t>
            </w:r>
          </w:p>
        </w:tc>
      </w:tr>
      <w:tr w:rsidR="00363EA9" w:rsidTr="006D0D69">
        <w:tblPrEx>
          <w:tblCellMar>
            <w:top w:w="0" w:type="dxa"/>
            <w:bottom w:w="0" w:type="dxa"/>
          </w:tblCellMar>
        </w:tblPrEx>
        <w:trPr>
          <w:trHeight w:val="109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8</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等標期間，因技術規格、履約期限或投標廠商資格…等招標文件內容更正或補充，應屬重大變更，其等標期未予適度延長。</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招標期限標準第7條</w:t>
            </w:r>
          </w:p>
        </w:tc>
      </w:tr>
      <w:tr w:rsidR="00363EA9" w:rsidTr="006D0D69">
        <w:tblPrEx>
          <w:tblCellMar>
            <w:top w:w="0" w:type="dxa"/>
            <w:bottom w:w="0" w:type="dxa"/>
          </w:tblCellMar>
        </w:tblPrEx>
        <w:trPr>
          <w:trHeight w:val="1299"/>
        </w:trPr>
        <w:tc>
          <w:tcPr>
            <w:tcW w:w="716" w:type="dxa"/>
            <w:tcBorders>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lastRenderedPageBreak/>
              <w:t>9</w:t>
            </w:r>
          </w:p>
        </w:tc>
        <w:tc>
          <w:tcPr>
            <w:tcW w:w="5639" w:type="dxa"/>
            <w:tcBorders>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違反法規規定，例如：招標文件在「需求規範及契約」中對於機關之決定「不得異議」。</w:t>
            </w:r>
          </w:p>
        </w:tc>
        <w:tc>
          <w:tcPr>
            <w:tcW w:w="3427" w:type="dxa"/>
            <w:tcBorders>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政府採購錯誤行為態樣一、（四）</w:t>
            </w:r>
          </w:p>
        </w:tc>
      </w:tr>
      <w:tr w:rsidR="00363EA9" w:rsidTr="006D0D69">
        <w:tblPrEx>
          <w:tblCellMar>
            <w:top w:w="0" w:type="dxa"/>
            <w:bottom w:w="0" w:type="dxa"/>
          </w:tblCellMar>
        </w:tblPrEx>
        <w:trPr>
          <w:trHeight w:val="124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10</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未依「機關提報巨額採購使用情形及效益分析作業規定」簽報機關首長核准相關事項，如完成採購後之預期使用情形及效益目標等。</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新細明體, PMingLiU"/>
              </w:rPr>
              <w:t>採購法第111條、</w:t>
            </w:r>
          </w:p>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機關提報巨額採購使用情形及效益分析作業規定第2點</w:t>
            </w:r>
          </w:p>
        </w:tc>
      </w:tr>
      <w:tr w:rsidR="00363EA9" w:rsidTr="006D0D69">
        <w:tblPrEx>
          <w:tblCellMar>
            <w:top w:w="0" w:type="dxa"/>
            <w:bottom w:w="0" w:type="dxa"/>
          </w:tblCellMar>
        </w:tblPrEx>
        <w:trPr>
          <w:trHeight w:val="900"/>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11</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標楷體"/>
              </w:rPr>
              <w:t>公開取得報價單或企劃書，第一次公告未達三家而當場改為限制性招標時，未先經機關首長或其授權人員核准。</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中央機關未達公告金額採購招標辦法第3條</w:t>
            </w:r>
          </w:p>
        </w:tc>
      </w:tr>
      <w:tr w:rsidR="00363EA9" w:rsidTr="006D0D69">
        <w:tblPrEx>
          <w:tblCellMar>
            <w:top w:w="0" w:type="dxa"/>
            <w:bottom w:w="0" w:type="dxa"/>
          </w:tblCellMar>
        </w:tblPrEx>
        <w:trPr>
          <w:trHeight w:val="436"/>
        </w:trPr>
        <w:tc>
          <w:tcPr>
            <w:tcW w:w="9782" w:type="dxa"/>
            <w:gridSpan w:val="3"/>
            <w:tcBorders>
              <w:top w:val="single" w:sz="4" w:space="0" w:color="000000"/>
              <w:left w:val="single" w:sz="12" w:space="0" w:color="000000"/>
              <w:bottom w:val="single" w:sz="4" w:space="0" w:color="000000"/>
              <w:right w:val="single" w:sz="12" w:space="0" w:color="000000"/>
            </w:tcBorders>
            <w:shd w:val="clear" w:color="auto" w:fill="CCFFCC"/>
            <w:tcMar>
              <w:top w:w="0" w:type="dxa"/>
              <w:left w:w="28" w:type="dxa"/>
              <w:bottom w:w="0" w:type="dxa"/>
              <w:right w:w="28" w:type="dxa"/>
            </w:tcMar>
            <w:vAlign w:val="center"/>
          </w:tcPr>
          <w:p w:rsidR="00363EA9" w:rsidRDefault="00363EA9" w:rsidP="006D0D69">
            <w:pPr>
              <w:pStyle w:val="Standard"/>
              <w:widowControl/>
              <w:jc w:val="both"/>
              <w:rPr>
                <w:rFonts w:ascii="標楷體" w:eastAsia="標楷體" w:hAnsi="標楷體" w:cs="新細明體, PMingLiU"/>
                <w:b/>
                <w:bCs/>
              </w:rPr>
            </w:pPr>
            <w:r>
              <w:rPr>
                <w:rFonts w:ascii="標楷體" w:eastAsia="標楷體" w:hAnsi="標楷體" w:cs="新細明體, PMingLiU"/>
                <w:b/>
                <w:bCs/>
              </w:rPr>
              <w:t>二、押標金保證金</w:t>
            </w:r>
          </w:p>
        </w:tc>
      </w:tr>
      <w:tr w:rsidR="00363EA9" w:rsidTr="006D0D69">
        <w:tblPrEx>
          <w:tblCellMar>
            <w:top w:w="0" w:type="dxa"/>
            <w:bottom w:w="0" w:type="dxa"/>
          </w:tblCellMar>
        </w:tblPrEx>
        <w:trPr>
          <w:trHeight w:val="1730"/>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1</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屬單價決標之採購案，採「一定比率」收取履約保證金，未依「押標金保證金暨其他擔保作業辦法」第15條第3項規定「採單價決標之採購，履約保證金應為一定金額」辦理。</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押標金保證金暨其他擔保作業辦法第15條第3項</w:t>
            </w:r>
          </w:p>
        </w:tc>
      </w:tr>
      <w:tr w:rsidR="00363EA9" w:rsidTr="006D0D69">
        <w:tblPrEx>
          <w:tblCellMar>
            <w:top w:w="0" w:type="dxa"/>
            <w:bottom w:w="0" w:type="dxa"/>
          </w:tblCellMar>
        </w:tblPrEx>
        <w:trPr>
          <w:trHeight w:val="111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2</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押標金金額逾規定上限。</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採購法第30 條、押標金保證金暨其他擔保作業辦法第9條第2項</w:t>
            </w:r>
          </w:p>
        </w:tc>
      </w:tr>
      <w:tr w:rsidR="00363EA9" w:rsidTr="006D0D69">
        <w:tblPrEx>
          <w:tblCellMar>
            <w:top w:w="0" w:type="dxa"/>
            <w:bottom w:w="0" w:type="dxa"/>
          </w:tblCellMar>
        </w:tblPrEx>
        <w:trPr>
          <w:trHeight w:val="524"/>
        </w:trPr>
        <w:tc>
          <w:tcPr>
            <w:tcW w:w="9782" w:type="dxa"/>
            <w:gridSpan w:val="3"/>
            <w:tcBorders>
              <w:top w:val="single" w:sz="4" w:space="0" w:color="000000"/>
              <w:left w:val="single" w:sz="12" w:space="0" w:color="000000"/>
              <w:bottom w:val="single" w:sz="4" w:space="0" w:color="000000"/>
              <w:right w:val="single" w:sz="12" w:space="0" w:color="000000"/>
            </w:tcBorders>
            <w:shd w:val="clear" w:color="auto" w:fill="CCFFCC"/>
            <w:tcMar>
              <w:top w:w="0" w:type="dxa"/>
              <w:left w:w="28" w:type="dxa"/>
              <w:bottom w:w="0" w:type="dxa"/>
              <w:right w:w="28" w:type="dxa"/>
            </w:tcMar>
            <w:vAlign w:val="center"/>
          </w:tcPr>
          <w:p w:rsidR="00363EA9" w:rsidRDefault="00363EA9" w:rsidP="006D0D69">
            <w:pPr>
              <w:pStyle w:val="Standard"/>
              <w:widowControl/>
              <w:jc w:val="both"/>
              <w:rPr>
                <w:rFonts w:ascii="標楷體" w:eastAsia="標楷體" w:hAnsi="標楷體" w:cs="新細明體, PMingLiU"/>
                <w:b/>
                <w:bCs/>
              </w:rPr>
            </w:pPr>
            <w:r>
              <w:rPr>
                <w:rFonts w:ascii="標楷體" w:eastAsia="標楷體" w:hAnsi="標楷體" w:cs="新細明體, PMingLiU"/>
                <w:b/>
                <w:bCs/>
              </w:rPr>
              <w:t>三、刊登招標公告</w:t>
            </w:r>
          </w:p>
        </w:tc>
      </w:tr>
      <w:tr w:rsidR="00363EA9" w:rsidTr="006D0D69">
        <w:tblPrEx>
          <w:tblCellMar>
            <w:top w:w="0" w:type="dxa"/>
            <w:bottom w:w="0" w:type="dxa"/>
          </w:tblCellMar>
        </w:tblPrEx>
        <w:trPr>
          <w:trHeight w:val="1080"/>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1</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標楷體"/>
              </w:rPr>
              <w:t>於政府採購公報刊登招標或決標公告內容，多未依「政府採購公告及公報發行辦法」規定辦理，例如：機關辦理採購招標之變更或補充公告，未於公告載明「變更補充事項或其摘要」；決標更正公告，未就更正項目依網路系統欄位填列「原刊登內容」及「變更、補充內容」。</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工程會88年10月14日工程企字第8816392號函</w:t>
            </w:r>
          </w:p>
        </w:tc>
      </w:tr>
      <w:tr w:rsidR="00363EA9" w:rsidTr="006D0D69">
        <w:tblPrEx>
          <w:tblCellMar>
            <w:top w:w="0" w:type="dxa"/>
            <w:bottom w:w="0" w:type="dxa"/>
          </w:tblCellMar>
        </w:tblPrEx>
        <w:trPr>
          <w:trHeight w:val="1461"/>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widowControl/>
              <w:jc w:val="center"/>
              <w:rPr>
                <w:rFonts w:ascii="標楷體" w:eastAsia="標楷體" w:hAnsi="標楷體" w:cs="新細明體, PMingLiU"/>
              </w:rPr>
            </w:pPr>
            <w:r>
              <w:rPr>
                <w:rFonts w:ascii="標楷體" w:eastAsia="標楷體" w:hAnsi="標楷體" w:cs="新細明體, PMingLiU"/>
              </w:rPr>
              <w:t>2</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招標公告及招標文件未刊載或未完整載明檢舉管道受理機關聯絡方式。</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標楷體"/>
              </w:rPr>
              <w:t>工程會</w:t>
            </w:r>
            <w:r>
              <w:rPr>
                <w:rFonts w:ascii="標楷體" w:eastAsia="標楷體" w:hAnsi="標楷體" w:cs="新細明體, PMingLiU"/>
              </w:rPr>
              <w:t>90年11月27日工程稽字第90046660號函、100年7月21日工程企字第10000260990號函</w:t>
            </w:r>
          </w:p>
        </w:tc>
      </w:tr>
      <w:tr w:rsidR="00363EA9" w:rsidTr="006D0D69">
        <w:tblPrEx>
          <w:tblCellMar>
            <w:top w:w="0" w:type="dxa"/>
            <w:bottom w:w="0" w:type="dxa"/>
          </w:tblCellMar>
        </w:tblPrEx>
        <w:trPr>
          <w:trHeight w:val="1993"/>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lastRenderedPageBreak/>
              <w:t>3</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Standard"/>
              <w:widowControl/>
            </w:pPr>
            <w:r>
              <w:rPr>
                <w:rFonts w:ascii="標楷體" w:eastAsia="標楷體" w:hAnsi="標楷體" w:cs="新細明體, PMingLiU"/>
              </w:rPr>
              <w:t>招標公告與招標文件之內容不一致，例如：截止投標期限不一致；開標時間不一致；履約期限不一致；預算金額不一致；收受招標文件地點不一致；押標金金額不一致；檢舉管道資訊不一致；廠商資格不一致等。</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widowControl/>
              <w:rPr>
                <w:rFonts w:ascii="標楷體" w:eastAsia="標楷體" w:hAnsi="標楷體" w:cs="新細明體, PMingLiU"/>
              </w:rPr>
            </w:pPr>
            <w:r>
              <w:rPr>
                <w:rFonts w:ascii="標楷體" w:eastAsia="標楷體" w:hAnsi="標楷體" w:cs="新細明體, PMingLiU"/>
              </w:rPr>
              <w:t>政府採購錯誤行為態樣六、（八）</w:t>
            </w:r>
          </w:p>
        </w:tc>
      </w:tr>
      <w:tr w:rsidR="00363EA9" w:rsidTr="006D0D69">
        <w:tblPrEx>
          <w:tblCellMar>
            <w:top w:w="0" w:type="dxa"/>
            <w:bottom w:w="0" w:type="dxa"/>
          </w:tblCellMar>
        </w:tblPrEx>
        <w:trPr>
          <w:trHeight w:val="864"/>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4</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機關於招標公告及招標文件已敘明後續擴充情形，未將後續擴充金額計入採購金額計算。</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標楷體"/>
              </w:rPr>
              <w:t>採購法</w:t>
            </w:r>
            <w:r>
              <w:rPr>
                <w:rFonts w:ascii="標楷體" w:eastAsia="標楷體" w:hAnsi="標楷體" w:cs="新細明體, PMingLiU"/>
              </w:rPr>
              <w:t>施行細則第6條第1項第3款</w:t>
            </w:r>
          </w:p>
        </w:tc>
      </w:tr>
      <w:tr w:rsidR="00363EA9" w:rsidTr="006D0D69">
        <w:tblPrEx>
          <w:tblCellMar>
            <w:top w:w="0" w:type="dxa"/>
            <w:bottom w:w="0" w:type="dxa"/>
          </w:tblCellMar>
        </w:tblPrEx>
        <w:trPr>
          <w:trHeight w:val="1590"/>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5</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未於原招標公告及招標文件載明後續擴充之期間、金額或數量。例如僅於招標文件載明有保留增購權利，未於招標公告載明。</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政府採購法第22條第1項各款執行錯誤態樣第7款（一）</w:t>
            </w:r>
          </w:p>
        </w:tc>
      </w:tr>
      <w:tr w:rsidR="00363EA9" w:rsidTr="006D0D69">
        <w:tblPrEx>
          <w:tblCellMar>
            <w:top w:w="0" w:type="dxa"/>
            <w:bottom w:w="0" w:type="dxa"/>
          </w:tblCellMar>
        </w:tblPrEx>
        <w:trPr>
          <w:trHeight w:val="91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6</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標楷體"/>
              </w:rPr>
              <w:t>公告內容未完全符合政府採購公告及公報發行辦法之規定，例如：漏填招標文件售價及付款方式，領取方式及地點未詳細載明。</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政府採購錯誤行為態樣六、（四）</w:t>
            </w:r>
          </w:p>
        </w:tc>
      </w:tr>
      <w:tr w:rsidR="00363EA9" w:rsidTr="006D0D69">
        <w:tblPrEx>
          <w:tblCellMar>
            <w:top w:w="0" w:type="dxa"/>
            <w:bottom w:w="0" w:type="dxa"/>
          </w:tblCellMar>
        </w:tblPrEx>
        <w:trPr>
          <w:trHeight w:val="70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7</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新細明體, PMingLiU"/>
              </w:rPr>
              <w:t>[履約期限]、[廠商資格條件摘要]等必填之欄位，以「詳招標文件」略過。</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機關傳輸政府採購資訊錯誤行為態樣二、（七）</w:t>
            </w:r>
          </w:p>
        </w:tc>
      </w:tr>
      <w:tr w:rsidR="00363EA9" w:rsidTr="006D0D69">
        <w:tblPrEx>
          <w:tblCellMar>
            <w:top w:w="0" w:type="dxa"/>
            <w:bottom w:w="0" w:type="dxa"/>
          </w:tblCellMar>
        </w:tblPrEx>
        <w:trPr>
          <w:trHeight w:val="1410"/>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8</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tcPr>
          <w:p w:rsidR="00363EA9" w:rsidRDefault="00363EA9" w:rsidP="006D0D69">
            <w:pPr>
              <w:pStyle w:val="Default"/>
              <w:jc w:val="both"/>
            </w:pPr>
            <w:r>
              <w:rPr>
                <w:rFonts w:ascii="標楷體" w:eastAsia="標楷體" w:hAnsi="標楷體" w:cs="新細明體, PMingLiU"/>
              </w:rPr>
              <w:t>招標公告採購金額未依政採購法施行細則第6條之規定計算認定，例如：契約金額中因不包含工程管理費、空污費該等費用，不應計入採購金額。</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363EA9" w:rsidRDefault="00363EA9" w:rsidP="006D0D69">
            <w:pPr>
              <w:pStyle w:val="Default"/>
              <w:snapToGrid w:val="0"/>
              <w:jc w:val="both"/>
              <w:rPr>
                <w:rFonts w:ascii="標楷體" w:eastAsia="標楷體" w:hAnsi="標楷體" w:cs="新細明體, PMingLiU"/>
              </w:rPr>
            </w:pPr>
          </w:p>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工程會88年7月2日工程企字第8809171號函</w:t>
            </w:r>
          </w:p>
        </w:tc>
      </w:tr>
      <w:tr w:rsidR="00363EA9" w:rsidTr="006D0D69">
        <w:tblPrEx>
          <w:tblCellMar>
            <w:top w:w="0" w:type="dxa"/>
            <w:bottom w:w="0" w:type="dxa"/>
          </w:tblCellMar>
        </w:tblPrEx>
        <w:trPr>
          <w:trHeight w:val="440"/>
        </w:trPr>
        <w:tc>
          <w:tcPr>
            <w:tcW w:w="9782" w:type="dxa"/>
            <w:gridSpan w:val="3"/>
            <w:tcBorders>
              <w:top w:val="single" w:sz="4" w:space="0" w:color="000000"/>
              <w:left w:val="single" w:sz="12" w:space="0" w:color="000000"/>
              <w:bottom w:val="single" w:sz="4" w:space="0" w:color="000000"/>
              <w:right w:val="single" w:sz="12" w:space="0" w:color="000000"/>
            </w:tcBorders>
            <w:shd w:val="clear" w:color="auto" w:fill="CCFFCC"/>
            <w:tcMar>
              <w:top w:w="0" w:type="dxa"/>
              <w:left w:w="28" w:type="dxa"/>
              <w:bottom w:w="0" w:type="dxa"/>
              <w:right w:w="28" w:type="dxa"/>
            </w:tcMar>
            <w:vAlign w:val="center"/>
          </w:tcPr>
          <w:p w:rsidR="00363EA9" w:rsidRDefault="00363EA9" w:rsidP="006D0D69">
            <w:pPr>
              <w:pStyle w:val="Standard"/>
              <w:widowControl/>
              <w:jc w:val="both"/>
              <w:rPr>
                <w:rFonts w:ascii="標楷體" w:eastAsia="標楷體" w:hAnsi="標楷體" w:cs="新細明體, PMingLiU"/>
                <w:b/>
                <w:bCs/>
              </w:rPr>
            </w:pPr>
            <w:r>
              <w:rPr>
                <w:rFonts w:ascii="標楷體" w:eastAsia="標楷體" w:hAnsi="標楷體" w:cs="新細明體, PMingLiU"/>
                <w:b/>
                <w:bCs/>
              </w:rPr>
              <w:t>四、資格及規格限制競爭</w:t>
            </w:r>
          </w:p>
        </w:tc>
      </w:tr>
      <w:tr w:rsidR="00363EA9" w:rsidTr="006D0D69">
        <w:tblPrEx>
          <w:tblCellMar>
            <w:top w:w="0" w:type="dxa"/>
            <w:bottom w:w="0" w:type="dxa"/>
          </w:tblCellMar>
        </w:tblPrEx>
        <w:trPr>
          <w:trHeight w:val="94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snapToGrid w:val="0"/>
              <w:jc w:val="center"/>
              <w:rPr>
                <w:rFonts w:ascii="標楷體" w:eastAsia="標楷體" w:hAnsi="標楷體" w:cs="標楷體"/>
                <w:b/>
                <w:bCs/>
              </w:rPr>
            </w:pPr>
          </w:p>
          <w:p w:rsidR="00363EA9" w:rsidRDefault="00363EA9" w:rsidP="006D0D69">
            <w:pPr>
              <w:pStyle w:val="Standard"/>
              <w:jc w:val="center"/>
              <w:rPr>
                <w:rFonts w:ascii="標楷體" w:eastAsia="標楷體" w:hAnsi="標楷體" w:cs="標楷體"/>
              </w:rPr>
            </w:pPr>
            <w:r>
              <w:rPr>
                <w:rFonts w:ascii="標楷體" w:eastAsia="標楷體" w:hAnsi="標楷體" w:cs="標楷體"/>
              </w:rPr>
              <w:t>1</w:t>
            </w:r>
          </w:p>
          <w:p w:rsidR="00363EA9" w:rsidRDefault="00363EA9" w:rsidP="006D0D69">
            <w:pPr>
              <w:pStyle w:val="Standard"/>
              <w:jc w:val="center"/>
              <w:rPr>
                <w:rFonts w:ascii="標楷體" w:eastAsia="標楷體" w:hAnsi="標楷體" w:cs="標楷體"/>
              </w:rPr>
            </w:pP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新細明體, PMingLiU"/>
              </w:rPr>
              <w:t>訂定之廠商資格為「投標廠商資格與特殊或巨額採購認定標準」所無或違反或較該標準更嚴格之規定，例如：廠商資格訂定為「須經政府登記合格，並具備合格證件無不良紀錄」，前述「無不良紀錄」訂定之廠商資格為「投標廠商資格與特殊或巨額採購認定標準」所無或違反或較該標準更嚴格之規定之情形。</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spacing w:line="300" w:lineRule="exact"/>
            </w:pPr>
            <w:r>
              <w:rPr>
                <w:rFonts w:ascii="標楷體" w:eastAsia="標楷體" w:hAnsi="標楷體" w:cs="標楷體"/>
              </w:rPr>
              <w:t>政府採購錯誤行為態樣二、（一）</w:t>
            </w:r>
          </w:p>
        </w:tc>
      </w:tr>
      <w:tr w:rsidR="00363EA9" w:rsidTr="006D0D69">
        <w:tblPrEx>
          <w:tblCellMar>
            <w:top w:w="0" w:type="dxa"/>
            <w:bottom w:w="0" w:type="dxa"/>
          </w:tblCellMar>
        </w:tblPrEx>
        <w:trPr>
          <w:trHeight w:val="94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2</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新細明體, PMingLiU"/>
              </w:rPr>
              <w:t>限非屬法規規定之團體之會員方可投標，例如：規定廠商須檢附「中華民國旅行業品質保障協會之會員證件證明」，惟查該品質保障會會員證非屬「投標廠商資格與特殊或巨額採購認定標準」第2條至第5條規定範圍。</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政府採購錯誤行為態樣二、(五)</w:t>
            </w:r>
          </w:p>
        </w:tc>
      </w:tr>
      <w:tr w:rsidR="00363EA9" w:rsidTr="006D0D69">
        <w:tblPrEx>
          <w:tblCellMar>
            <w:top w:w="0" w:type="dxa"/>
            <w:bottom w:w="0" w:type="dxa"/>
          </w:tblCellMar>
        </w:tblPrEx>
        <w:trPr>
          <w:trHeight w:val="94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snapToGrid w:val="0"/>
              <w:rPr>
                <w:rFonts w:ascii="標楷體" w:eastAsia="標楷體" w:hAnsi="標楷體" w:cs="標楷體"/>
                <w:color w:val="000000"/>
              </w:rPr>
            </w:pPr>
          </w:p>
          <w:p w:rsidR="00363EA9" w:rsidRDefault="00363EA9" w:rsidP="006D0D69">
            <w:pPr>
              <w:pStyle w:val="Standard"/>
              <w:jc w:val="center"/>
              <w:rPr>
                <w:rFonts w:ascii="標楷體" w:eastAsia="標楷體" w:hAnsi="標楷體" w:cs="標楷體"/>
              </w:rPr>
            </w:pPr>
            <w:r>
              <w:rPr>
                <w:rFonts w:ascii="標楷體" w:eastAsia="標楷體" w:hAnsi="標楷體" w:cs="標楷體"/>
              </w:rPr>
              <w:t>3</w:t>
            </w:r>
          </w:p>
          <w:p w:rsidR="00363EA9" w:rsidRDefault="00363EA9" w:rsidP="006D0D69">
            <w:pPr>
              <w:pStyle w:val="Standard"/>
              <w:jc w:val="center"/>
              <w:rPr>
                <w:rFonts w:ascii="標楷體" w:eastAsia="標楷體" w:hAnsi="標楷體" w:cs="標楷體"/>
              </w:rPr>
            </w:pP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新細明體, PMingLiU"/>
              </w:rPr>
              <w:t>繳納營業稅證明文件限當期者。</w:t>
            </w:r>
            <w:r>
              <w:rPr>
                <w:rFonts w:ascii="標楷體" w:eastAsia="標楷體" w:hAnsi="標楷體" w:cs="標楷體"/>
              </w:rPr>
              <w:t>請依「投標廠商資格與特殊或巨額採購認定標準」第3條第3項「廠商不及提出最近一期證明者，得以前一期之納稅證明代之」規定辦理。</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spacing w:line="300" w:lineRule="exact"/>
              <w:rPr>
                <w:rFonts w:ascii="標楷體" w:eastAsia="標楷體" w:hAnsi="標楷體" w:cs="標楷體"/>
              </w:rPr>
            </w:pPr>
            <w:r>
              <w:rPr>
                <w:rFonts w:ascii="標楷體" w:eastAsia="標楷體" w:hAnsi="標楷體" w:cs="標楷體"/>
              </w:rPr>
              <w:t>政府採購錯誤行為態樣二、(十)</w:t>
            </w:r>
          </w:p>
        </w:tc>
      </w:tr>
      <w:tr w:rsidR="00363EA9" w:rsidTr="006D0D69">
        <w:tblPrEx>
          <w:tblCellMar>
            <w:top w:w="0" w:type="dxa"/>
            <w:bottom w:w="0" w:type="dxa"/>
          </w:tblCellMar>
        </w:tblPrEx>
        <w:trPr>
          <w:trHeight w:val="94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4</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新細明體, PMingLiU"/>
              </w:rPr>
              <w:t>過當之資格，例如：採購金額級距屬土木包工業得以承攬之範圍（600萬元以下），未開放土木包工業投標。</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政府採購錯誤行為態樣二、（四）</w:t>
            </w:r>
          </w:p>
        </w:tc>
      </w:tr>
      <w:tr w:rsidR="00363EA9" w:rsidTr="006D0D69">
        <w:tblPrEx>
          <w:tblCellMar>
            <w:top w:w="0" w:type="dxa"/>
            <w:bottom w:w="0" w:type="dxa"/>
          </w:tblCellMar>
        </w:tblPrEx>
        <w:trPr>
          <w:trHeight w:val="1473"/>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5</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Standard"/>
              <w:widowControl/>
            </w:pPr>
            <w:r>
              <w:rPr>
                <w:rFonts w:ascii="標楷體" w:eastAsia="標楷體" w:hAnsi="標楷體" w:cs="新細明體, PMingLiU"/>
              </w:rPr>
              <w:t>不當限制特定公會之會員方可投標，例如：廠商營業別於相關法規並無規定須取得會員資格方得營業，但投標須知規定廠商投標需檢附公會會員證。</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widowControl/>
              <w:rPr>
                <w:rFonts w:ascii="標楷體" w:eastAsia="標楷體" w:hAnsi="標楷體" w:cs="新細明體, PMingLiU"/>
              </w:rPr>
            </w:pPr>
            <w:r>
              <w:rPr>
                <w:rFonts w:ascii="標楷體" w:eastAsia="標楷體" w:hAnsi="標楷體" w:cs="新細明體, PMingLiU"/>
              </w:rPr>
              <w:t>政府採購錯誤行為態樣二、（八）</w:t>
            </w:r>
          </w:p>
        </w:tc>
      </w:tr>
      <w:tr w:rsidR="00363EA9" w:rsidTr="006D0D69">
        <w:tblPrEx>
          <w:tblCellMar>
            <w:top w:w="0" w:type="dxa"/>
            <w:bottom w:w="0" w:type="dxa"/>
          </w:tblCellMar>
        </w:tblPrEx>
        <w:trPr>
          <w:trHeight w:val="1287"/>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6</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未依採購案件特性訂定適當之廠商資格。</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採購法第37條</w:t>
            </w:r>
          </w:p>
        </w:tc>
      </w:tr>
      <w:tr w:rsidR="00363EA9" w:rsidTr="006D0D69">
        <w:tblPrEx>
          <w:tblCellMar>
            <w:top w:w="0" w:type="dxa"/>
            <w:bottom w:w="0" w:type="dxa"/>
          </w:tblCellMar>
        </w:tblPrEx>
        <w:trPr>
          <w:trHeight w:val="630"/>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7</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公告金額以上之採購指定特定廠牌之規格或型號或特定國家或協會之標準而未允許同等品。</w:t>
            </w:r>
          </w:p>
          <w:p w:rsidR="00363EA9" w:rsidRDefault="00363EA9" w:rsidP="006D0D69">
            <w:pPr>
              <w:pStyle w:val="Default"/>
              <w:jc w:val="both"/>
              <w:rPr>
                <w:rFonts w:ascii="標楷體" w:eastAsia="標楷體" w:hAnsi="標楷體" w:cs="新細明體, PMingLiU"/>
              </w:rPr>
            </w:pP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採購法第26條第3項、採購法施行細則第25條</w:t>
            </w:r>
          </w:p>
          <w:p w:rsidR="00363EA9" w:rsidRDefault="00363EA9" w:rsidP="006D0D69">
            <w:pPr>
              <w:pStyle w:val="Default"/>
              <w:jc w:val="both"/>
              <w:rPr>
                <w:rFonts w:ascii="標楷體" w:eastAsia="標楷體" w:hAnsi="標楷體" w:cs="新細明體, PMingLiU"/>
              </w:rPr>
            </w:pPr>
          </w:p>
        </w:tc>
      </w:tr>
      <w:tr w:rsidR="00363EA9" w:rsidTr="006D0D69">
        <w:tblPrEx>
          <w:tblCellMar>
            <w:top w:w="0" w:type="dxa"/>
            <w:bottom w:w="0" w:type="dxa"/>
          </w:tblCellMar>
        </w:tblPrEx>
        <w:trPr>
          <w:trHeight w:val="440"/>
        </w:trPr>
        <w:tc>
          <w:tcPr>
            <w:tcW w:w="9782" w:type="dxa"/>
            <w:gridSpan w:val="3"/>
            <w:tcBorders>
              <w:top w:val="single" w:sz="4" w:space="0" w:color="000000"/>
              <w:left w:val="single" w:sz="12" w:space="0" w:color="000000"/>
              <w:bottom w:val="single" w:sz="4" w:space="0" w:color="000000"/>
              <w:right w:val="single" w:sz="12" w:space="0" w:color="000000"/>
            </w:tcBorders>
            <w:shd w:val="clear" w:color="auto" w:fill="CCFFCC"/>
            <w:tcMar>
              <w:top w:w="0" w:type="dxa"/>
              <w:left w:w="28" w:type="dxa"/>
              <w:bottom w:w="0" w:type="dxa"/>
              <w:right w:w="28" w:type="dxa"/>
            </w:tcMar>
            <w:vAlign w:val="center"/>
          </w:tcPr>
          <w:p w:rsidR="00363EA9" w:rsidRDefault="00363EA9" w:rsidP="006D0D69">
            <w:pPr>
              <w:pStyle w:val="Standard"/>
              <w:widowControl/>
              <w:jc w:val="both"/>
              <w:rPr>
                <w:rFonts w:ascii="標楷體" w:eastAsia="標楷體" w:hAnsi="標楷體" w:cs="新細明體, PMingLiU"/>
                <w:b/>
                <w:bCs/>
              </w:rPr>
            </w:pPr>
            <w:r>
              <w:rPr>
                <w:rFonts w:ascii="標楷體" w:eastAsia="標楷體" w:hAnsi="標楷體" w:cs="新細明體, PMingLiU"/>
                <w:b/>
                <w:bCs/>
              </w:rPr>
              <w:t>五、開標階段</w:t>
            </w:r>
          </w:p>
        </w:tc>
      </w:tr>
      <w:tr w:rsidR="00363EA9" w:rsidTr="006D0D69">
        <w:tblPrEx>
          <w:tblCellMar>
            <w:top w:w="0" w:type="dxa"/>
            <w:bottom w:w="0" w:type="dxa"/>
          </w:tblCellMar>
        </w:tblPrEx>
        <w:trPr>
          <w:trHeight w:val="61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1</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snapToGrid w:val="0"/>
              <w:jc w:val="both"/>
              <w:rPr>
                <w:rFonts w:ascii="標楷體" w:eastAsia="標楷體" w:hAnsi="標楷體" w:cs="標楷體"/>
              </w:rPr>
            </w:pPr>
          </w:p>
          <w:p w:rsidR="00363EA9" w:rsidRDefault="00363EA9" w:rsidP="006D0D69">
            <w:pPr>
              <w:pStyle w:val="Default"/>
              <w:jc w:val="both"/>
            </w:pPr>
            <w:r>
              <w:rPr>
                <w:rFonts w:ascii="標楷體" w:eastAsia="標楷體" w:hAnsi="標楷體" w:cs="標楷體"/>
              </w:rPr>
              <w:t>未經機關首長或其授權人核准，逕採書面審核。</w:t>
            </w:r>
          </w:p>
          <w:p w:rsidR="00363EA9" w:rsidRDefault="00363EA9" w:rsidP="006D0D69">
            <w:pPr>
              <w:pStyle w:val="Default"/>
              <w:jc w:val="both"/>
              <w:rPr>
                <w:rFonts w:ascii="標楷體" w:eastAsia="標楷體" w:hAnsi="標楷體" w:cs="標楷體"/>
              </w:rPr>
            </w:pP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標楷體"/>
              </w:rPr>
              <w:t>機關主會計及有關單位會同監辦採購辦法第4條第1項</w:t>
            </w:r>
          </w:p>
        </w:tc>
      </w:tr>
      <w:tr w:rsidR="00363EA9" w:rsidTr="006D0D69">
        <w:tblPrEx>
          <w:tblCellMar>
            <w:top w:w="0" w:type="dxa"/>
            <w:bottom w:w="0" w:type="dxa"/>
          </w:tblCellMar>
        </w:tblPrEx>
        <w:trPr>
          <w:trHeight w:val="1140"/>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2</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公告金額以上之採購，投標家數不足流標之情形，監辦人員未於記錄簽認。</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機關主會計及有關單位會同監辦採購辦法第7條</w:t>
            </w:r>
          </w:p>
        </w:tc>
      </w:tr>
      <w:tr w:rsidR="00363EA9" w:rsidTr="006D0D69">
        <w:tblPrEx>
          <w:tblCellMar>
            <w:top w:w="0" w:type="dxa"/>
            <w:bottom w:w="0" w:type="dxa"/>
          </w:tblCellMar>
        </w:tblPrEx>
        <w:trPr>
          <w:trHeight w:val="1260"/>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3</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標楷體"/>
              </w:rPr>
              <w:t>招標文件中規定投標廠商應檢附服務建議書達一定之數量，未達規定份數者，視為資格不符。</w:t>
            </w:r>
          </w:p>
          <w:p w:rsidR="00363EA9" w:rsidRDefault="00363EA9" w:rsidP="006D0D69">
            <w:pPr>
              <w:pStyle w:val="Default"/>
              <w:jc w:val="both"/>
            </w:pPr>
            <w:r>
              <w:rPr>
                <w:rFonts w:ascii="標楷體" w:eastAsia="標楷體" w:hAnsi="標楷體" w:cs="標楷體"/>
              </w:rPr>
              <w:t>工程會96年5月8日工程企字第09600182560號函</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snapToGrid w:val="0"/>
              <w:rPr>
                <w:rFonts w:ascii="標楷體" w:eastAsia="標楷體" w:hAnsi="標楷體" w:cs="標楷體"/>
                <w:color w:val="000000"/>
              </w:rPr>
            </w:pPr>
          </w:p>
        </w:tc>
      </w:tr>
      <w:tr w:rsidR="00363EA9" w:rsidTr="006D0D69">
        <w:tblPrEx>
          <w:tblCellMar>
            <w:top w:w="0" w:type="dxa"/>
            <w:bottom w:w="0" w:type="dxa"/>
          </w:tblCellMar>
        </w:tblPrEx>
        <w:trPr>
          <w:trHeight w:val="1308"/>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4</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辦理公告金額以上之採購，其開標或決標時未由主（會）計及有關單位派員監辦。</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採購法第13條、機關主會計及有關單位會同監辦採購辦法</w:t>
            </w:r>
          </w:p>
        </w:tc>
      </w:tr>
      <w:tr w:rsidR="00363EA9" w:rsidTr="006D0D69">
        <w:tblPrEx>
          <w:tblCellMar>
            <w:top w:w="0" w:type="dxa"/>
            <w:bottom w:w="0" w:type="dxa"/>
          </w:tblCellMar>
        </w:tblPrEx>
        <w:trPr>
          <w:trHeight w:val="584"/>
        </w:trPr>
        <w:tc>
          <w:tcPr>
            <w:tcW w:w="716" w:type="dxa"/>
            <w:tcBorders>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5</w:t>
            </w:r>
          </w:p>
        </w:tc>
        <w:tc>
          <w:tcPr>
            <w:tcW w:w="5639" w:type="dxa"/>
            <w:tcBorders>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Standard"/>
              <w:widowControl/>
              <w:rPr>
                <w:rFonts w:ascii="標楷體" w:eastAsia="標楷體" w:hAnsi="標楷體" w:cs="新細明體, PMingLiU"/>
              </w:rPr>
            </w:pPr>
            <w:r>
              <w:rPr>
                <w:rFonts w:ascii="標楷體" w:eastAsia="標楷體" w:hAnsi="標楷體" w:cs="新細明體, PMingLiU"/>
              </w:rPr>
              <w:t>開標主持人未經機關首長或其授權人員指派。</w:t>
            </w:r>
          </w:p>
        </w:tc>
        <w:tc>
          <w:tcPr>
            <w:tcW w:w="3427" w:type="dxa"/>
            <w:tcBorders>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widowControl/>
            </w:pPr>
            <w:r>
              <w:rPr>
                <w:rFonts w:ascii="標楷體" w:eastAsia="標楷體" w:hAnsi="標楷體" w:cs="標楷體"/>
              </w:rPr>
              <w:t>採購法</w:t>
            </w:r>
            <w:r>
              <w:rPr>
                <w:rFonts w:ascii="標楷體" w:eastAsia="標楷體" w:hAnsi="標楷體" w:cs="新細明體, PMingLiU"/>
              </w:rPr>
              <w:t>施行細則第50條第2項</w:t>
            </w:r>
          </w:p>
        </w:tc>
      </w:tr>
      <w:tr w:rsidR="00363EA9" w:rsidTr="006D0D69">
        <w:tblPrEx>
          <w:tblCellMar>
            <w:top w:w="0" w:type="dxa"/>
            <w:bottom w:w="0" w:type="dxa"/>
          </w:tblCellMar>
        </w:tblPrEx>
        <w:trPr>
          <w:trHeight w:val="584"/>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lastRenderedPageBreak/>
              <w:t>6</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Standard"/>
              <w:widowControl/>
              <w:rPr>
                <w:rFonts w:ascii="標楷體" w:eastAsia="標楷體" w:hAnsi="標楷體" w:cs="新細明體, PMingLiU"/>
              </w:rPr>
            </w:pPr>
            <w:r>
              <w:rPr>
                <w:rFonts w:ascii="標楷體" w:eastAsia="標楷體" w:hAnsi="標楷體" w:cs="新細明體, PMingLiU"/>
              </w:rPr>
              <w:t>未依規定保密。例如：保留決標底價已公開，並載明於開標紀錄，未予保密。</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widowControl/>
              <w:rPr>
                <w:rFonts w:ascii="標楷體" w:eastAsia="標楷體" w:hAnsi="標楷體" w:cs="新細明體, PMingLiU"/>
              </w:rPr>
            </w:pPr>
            <w:r>
              <w:rPr>
                <w:rFonts w:ascii="標楷體" w:eastAsia="標楷體" w:hAnsi="標楷體" w:cs="新細明體, PMingLiU"/>
              </w:rPr>
              <w:t>採購法第34條第3項 、第4項</w:t>
            </w:r>
          </w:p>
        </w:tc>
      </w:tr>
      <w:tr w:rsidR="00363EA9" w:rsidTr="006D0D69">
        <w:tblPrEx>
          <w:tblCellMar>
            <w:top w:w="0" w:type="dxa"/>
            <w:bottom w:w="0" w:type="dxa"/>
          </w:tblCellMar>
        </w:tblPrEx>
        <w:trPr>
          <w:trHeight w:val="750"/>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7</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流標未製作紀錄</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widowControl/>
            </w:pPr>
            <w:r>
              <w:rPr>
                <w:rFonts w:ascii="標楷體" w:eastAsia="標楷體" w:hAnsi="標楷體" w:cs="新細明體, PMingLiU"/>
              </w:rPr>
              <w:t>採購</w:t>
            </w:r>
            <w:r>
              <w:rPr>
                <w:rFonts w:ascii="標楷體" w:eastAsia="標楷體" w:hAnsi="標楷體" w:cs="標楷體"/>
              </w:rPr>
              <w:t>法</w:t>
            </w:r>
            <w:r>
              <w:rPr>
                <w:rFonts w:ascii="標楷體" w:eastAsia="標楷體" w:hAnsi="標楷體" w:cs="新細明體, PMingLiU"/>
              </w:rPr>
              <w:t>施行細則第51條</w:t>
            </w:r>
          </w:p>
        </w:tc>
      </w:tr>
      <w:tr w:rsidR="00363EA9" w:rsidTr="006D0D69">
        <w:tblPrEx>
          <w:tblCellMar>
            <w:top w:w="0" w:type="dxa"/>
            <w:bottom w:w="0" w:type="dxa"/>
          </w:tblCellMar>
        </w:tblPrEx>
        <w:trPr>
          <w:trHeight w:val="690"/>
        </w:trPr>
        <w:tc>
          <w:tcPr>
            <w:tcW w:w="9782" w:type="dxa"/>
            <w:gridSpan w:val="3"/>
            <w:tcBorders>
              <w:top w:val="single" w:sz="4" w:space="0" w:color="000000"/>
              <w:left w:val="single" w:sz="12" w:space="0" w:color="000000"/>
              <w:bottom w:val="single" w:sz="4" w:space="0" w:color="000000"/>
              <w:right w:val="single" w:sz="12" w:space="0" w:color="000000"/>
            </w:tcBorders>
            <w:shd w:val="clear" w:color="auto" w:fill="CCFFCC"/>
            <w:tcMar>
              <w:top w:w="0" w:type="dxa"/>
              <w:left w:w="28" w:type="dxa"/>
              <w:bottom w:w="0" w:type="dxa"/>
              <w:right w:w="28" w:type="dxa"/>
            </w:tcMar>
            <w:vAlign w:val="center"/>
          </w:tcPr>
          <w:p w:rsidR="00363EA9" w:rsidRDefault="00363EA9" w:rsidP="006D0D69">
            <w:pPr>
              <w:pStyle w:val="Standard"/>
              <w:widowControl/>
              <w:jc w:val="both"/>
              <w:rPr>
                <w:rFonts w:ascii="標楷體" w:eastAsia="標楷體" w:hAnsi="標楷體" w:cs="新細明體, PMingLiU"/>
                <w:b/>
                <w:bCs/>
              </w:rPr>
            </w:pPr>
            <w:r>
              <w:rPr>
                <w:rFonts w:ascii="標楷體" w:eastAsia="標楷體" w:hAnsi="標楷體" w:cs="新細明體, PMingLiU"/>
                <w:b/>
                <w:bCs/>
              </w:rPr>
              <w:t>六、底價訂定</w:t>
            </w:r>
          </w:p>
        </w:tc>
      </w:tr>
      <w:tr w:rsidR="00363EA9" w:rsidTr="006D0D69">
        <w:tblPrEx>
          <w:tblCellMar>
            <w:top w:w="0" w:type="dxa"/>
            <w:bottom w:w="0" w:type="dxa"/>
          </w:tblCellMar>
        </w:tblPrEx>
        <w:trPr>
          <w:trHeight w:val="67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1</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底價訂定未提出預估金額及其分析資料，作為機關首長或其授權人員核定底價之參考。</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pPr>
            <w:r>
              <w:rPr>
                <w:rFonts w:ascii="標楷體" w:eastAsia="標楷體" w:hAnsi="標楷體" w:cs="標楷體"/>
              </w:rPr>
              <w:t>採購法</w:t>
            </w:r>
            <w:r>
              <w:rPr>
                <w:rFonts w:ascii="標楷體" w:eastAsia="標楷體" w:hAnsi="標楷體" w:cs="新細明體, PMingLiU"/>
              </w:rPr>
              <w:t>施行細則第53條</w:t>
            </w:r>
          </w:p>
        </w:tc>
      </w:tr>
      <w:tr w:rsidR="00363EA9" w:rsidTr="006D0D69">
        <w:tblPrEx>
          <w:tblCellMar>
            <w:top w:w="0" w:type="dxa"/>
            <w:bottom w:w="0" w:type="dxa"/>
          </w:tblCellMar>
        </w:tblPrEx>
        <w:trPr>
          <w:trHeight w:val="150"/>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2</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未依採購法第46條規定訂定底價，業未敘明是否屬採購法第47條規定得不訂定底價之情形，簽奉首長核定。</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rPr>
                <w:rFonts w:ascii="標楷體" w:eastAsia="標楷體" w:hAnsi="標楷體" w:cs="新細明體, PMingLiU"/>
              </w:rPr>
            </w:pPr>
            <w:r>
              <w:rPr>
                <w:rFonts w:ascii="標楷體" w:eastAsia="標楷體" w:hAnsi="標楷體" w:cs="新細明體, PMingLiU"/>
              </w:rPr>
              <w:t>採購法第46條、第47條</w:t>
            </w:r>
          </w:p>
        </w:tc>
      </w:tr>
      <w:tr w:rsidR="00363EA9" w:rsidTr="006D0D69">
        <w:tblPrEx>
          <w:tblCellMar>
            <w:top w:w="0" w:type="dxa"/>
            <w:bottom w:w="0" w:type="dxa"/>
          </w:tblCellMar>
        </w:tblPrEx>
        <w:trPr>
          <w:trHeight w:val="1627"/>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3</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標楷體"/>
              </w:rPr>
              <w:t>辦理公開取得廠商書面報價之採購，僅1家廠商投標，當場改採限制性招標之議價，未參考議價廠商報價訂定底價再辦理議價程序。</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pPr>
            <w:r>
              <w:rPr>
                <w:rFonts w:ascii="標楷體" w:eastAsia="標楷體" w:hAnsi="標楷體" w:cs="標楷體"/>
              </w:rPr>
              <w:t>採購法施行細則第54條第3項、工程會97年4月2日工程企字第09700113090號函</w:t>
            </w:r>
          </w:p>
        </w:tc>
      </w:tr>
      <w:tr w:rsidR="00363EA9" w:rsidTr="006D0D69">
        <w:tblPrEx>
          <w:tblCellMar>
            <w:top w:w="0" w:type="dxa"/>
            <w:bottom w:w="0" w:type="dxa"/>
          </w:tblCellMar>
        </w:tblPrEx>
        <w:trPr>
          <w:trHeight w:val="390"/>
        </w:trPr>
        <w:tc>
          <w:tcPr>
            <w:tcW w:w="9782" w:type="dxa"/>
            <w:gridSpan w:val="3"/>
            <w:tcBorders>
              <w:top w:val="single" w:sz="4" w:space="0" w:color="000000"/>
              <w:left w:val="single" w:sz="12" w:space="0" w:color="000000"/>
              <w:bottom w:val="single" w:sz="4" w:space="0" w:color="000000"/>
              <w:right w:val="single" w:sz="12" w:space="0" w:color="000000"/>
            </w:tcBorders>
            <w:shd w:val="clear" w:color="auto" w:fill="CCFFCC"/>
            <w:tcMar>
              <w:top w:w="0" w:type="dxa"/>
              <w:left w:w="28" w:type="dxa"/>
              <w:bottom w:w="0" w:type="dxa"/>
              <w:right w:w="28" w:type="dxa"/>
            </w:tcMar>
            <w:vAlign w:val="center"/>
          </w:tcPr>
          <w:p w:rsidR="00363EA9" w:rsidRDefault="00363EA9" w:rsidP="006D0D69">
            <w:pPr>
              <w:pStyle w:val="Standard"/>
              <w:widowControl/>
              <w:jc w:val="both"/>
              <w:rPr>
                <w:rFonts w:ascii="標楷體" w:eastAsia="標楷體" w:hAnsi="標楷體" w:cs="新細明體, PMingLiU"/>
                <w:b/>
                <w:bCs/>
              </w:rPr>
            </w:pPr>
            <w:r>
              <w:rPr>
                <w:rFonts w:ascii="標楷體" w:eastAsia="標楷體" w:hAnsi="標楷體" w:cs="新細明體, PMingLiU"/>
                <w:b/>
                <w:bCs/>
              </w:rPr>
              <w:t>七、決標階段與決標公告</w:t>
            </w:r>
          </w:p>
        </w:tc>
      </w:tr>
      <w:tr w:rsidR="00363EA9" w:rsidTr="006D0D69">
        <w:tblPrEx>
          <w:tblCellMar>
            <w:top w:w="0" w:type="dxa"/>
            <w:bottom w:w="0" w:type="dxa"/>
          </w:tblCellMar>
        </w:tblPrEx>
        <w:trPr>
          <w:trHeight w:val="660"/>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1</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使用工程會之招標投標簽約三用格式，卻規定廠商決標後須至機關簽約。</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Textbodyindent"/>
              <w:spacing w:line="340" w:lineRule="exact"/>
              <w:ind w:left="26" w:hanging="38"/>
              <w:jc w:val="both"/>
              <w:rPr>
                <w:rFonts w:ascii="標楷體" w:hAnsi="標楷體" w:cs="標楷體"/>
                <w:sz w:val="24"/>
              </w:rPr>
            </w:pPr>
            <w:r>
              <w:rPr>
                <w:rFonts w:ascii="標楷體" w:hAnsi="標楷體" w:cs="標楷體"/>
                <w:sz w:val="24"/>
              </w:rPr>
              <w:t>政府採購錯誤行為態樣十、（十二）</w:t>
            </w:r>
          </w:p>
        </w:tc>
      </w:tr>
      <w:tr w:rsidR="00363EA9" w:rsidTr="006D0D69">
        <w:tblPrEx>
          <w:tblCellMar>
            <w:top w:w="0" w:type="dxa"/>
            <w:bottom w:w="0" w:type="dxa"/>
          </w:tblCellMar>
        </w:tblPrEx>
        <w:trPr>
          <w:trHeight w:val="76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2</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標價偏低，未經分析逕行決標，或未通知廠商說明即逕通知繳納差額保證金，或未繳納差額保證金前即決標而於決標後通知繳納差額保證金。</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政府採購錯誤行為態樣第十、（七）</w:t>
            </w:r>
          </w:p>
        </w:tc>
      </w:tr>
      <w:tr w:rsidR="00363EA9" w:rsidTr="006D0D69">
        <w:tblPrEx>
          <w:tblCellMar>
            <w:top w:w="0" w:type="dxa"/>
            <w:bottom w:w="0" w:type="dxa"/>
          </w:tblCellMar>
        </w:tblPrEx>
        <w:trPr>
          <w:trHeight w:val="1423"/>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3</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標楷體"/>
              </w:rPr>
              <w:t>公告金額以上之採購，決標後未將決標(廢標)結果以書面或電子資料傳輸方式通知各投標廠商，或刊登決標公告逾法令規定時間。</w:t>
            </w:r>
          </w:p>
          <w:p w:rsidR="00363EA9" w:rsidRDefault="00363EA9" w:rsidP="006D0D69">
            <w:pPr>
              <w:pStyle w:val="Default"/>
              <w:jc w:val="both"/>
              <w:rPr>
                <w:rFonts w:ascii="標楷體" w:eastAsia="標楷體" w:hAnsi="標楷體" w:cs="新細明體, PMingLiU"/>
              </w:rPr>
            </w:pP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標楷體"/>
              </w:rPr>
              <w:t>採購法第61條、工程會98年9月17日工程企字第09800415430號函、採購法施行細則第84條第3項</w:t>
            </w:r>
          </w:p>
        </w:tc>
      </w:tr>
      <w:tr w:rsidR="00363EA9" w:rsidTr="006D0D69">
        <w:tblPrEx>
          <w:tblCellMar>
            <w:top w:w="0" w:type="dxa"/>
            <w:bottom w:w="0" w:type="dxa"/>
          </w:tblCellMar>
        </w:tblPrEx>
        <w:trPr>
          <w:trHeight w:val="127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4</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新細明體, PMingLiU"/>
              </w:rPr>
              <w:t>決標紀錄記載不全，例如：未填決標原則；未填決標日期等。</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rPr>
                <w:rFonts w:ascii="標楷體" w:eastAsia="標楷體" w:hAnsi="標楷體" w:cs="新細明體, PMingLiU"/>
              </w:rPr>
            </w:pPr>
            <w:r>
              <w:rPr>
                <w:rFonts w:ascii="標楷體" w:eastAsia="標楷體" w:hAnsi="標楷體" w:cs="新細明體, PMingLiU"/>
              </w:rPr>
              <w:t>政府採購錯誤行為樣態十、（十八）</w:t>
            </w:r>
          </w:p>
        </w:tc>
      </w:tr>
      <w:tr w:rsidR="00363EA9" w:rsidTr="006D0D69">
        <w:tblPrEx>
          <w:tblCellMar>
            <w:top w:w="0" w:type="dxa"/>
            <w:bottom w:w="0" w:type="dxa"/>
          </w:tblCellMar>
        </w:tblPrEx>
        <w:trPr>
          <w:trHeight w:val="150"/>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5</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新細明體, PMingLiU"/>
              </w:rPr>
              <w:t>決標結果以書面通知各投標廠商，書面通知內容缺漏，例如：未含決標金額、決標日期、決標金額。</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pPr>
            <w:r>
              <w:rPr>
                <w:rFonts w:ascii="標楷體" w:eastAsia="標楷體" w:hAnsi="標楷體" w:cs="標楷體"/>
              </w:rPr>
              <w:t>採購法</w:t>
            </w:r>
            <w:r>
              <w:rPr>
                <w:rFonts w:ascii="標楷體" w:eastAsia="標楷體" w:hAnsi="標楷體" w:cs="新細明體, PMingLiU"/>
              </w:rPr>
              <w:t>施行細則第85條</w:t>
            </w:r>
          </w:p>
        </w:tc>
      </w:tr>
      <w:tr w:rsidR="00363EA9" w:rsidTr="006D0D69">
        <w:tblPrEx>
          <w:tblCellMar>
            <w:top w:w="0" w:type="dxa"/>
            <w:bottom w:w="0" w:type="dxa"/>
          </w:tblCellMar>
        </w:tblPrEx>
        <w:trPr>
          <w:trHeight w:val="390"/>
        </w:trPr>
        <w:tc>
          <w:tcPr>
            <w:tcW w:w="9782" w:type="dxa"/>
            <w:gridSpan w:val="3"/>
            <w:tcBorders>
              <w:top w:val="single" w:sz="4" w:space="0" w:color="000000"/>
              <w:left w:val="single" w:sz="12" w:space="0" w:color="000000"/>
              <w:bottom w:val="single" w:sz="4" w:space="0" w:color="000000"/>
              <w:right w:val="single" w:sz="12" w:space="0" w:color="000000"/>
            </w:tcBorders>
            <w:shd w:val="clear" w:color="auto" w:fill="CCFFCC"/>
            <w:tcMar>
              <w:top w:w="0" w:type="dxa"/>
              <w:left w:w="28" w:type="dxa"/>
              <w:bottom w:w="0" w:type="dxa"/>
              <w:right w:w="28" w:type="dxa"/>
            </w:tcMar>
            <w:vAlign w:val="center"/>
          </w:tcPr>
          <w:p w:rsidR="00363EA9" w:rsidRDefault="00363EA9" w:rsidP="006D0D69">
            <w:pPr>
              <w:pStyle w:val="Standard"/>
              <w:widowControl/>
              <w:jc w:val="both"/>
              <w:rPr>
                <w:rFonts w:ascii="標楷體" w:eastAsia="標楷體" w:hAnsi="標楷體" w:cs="新細明體, PMingLiU"/>
                <w:b/>
                <w:bCs/>
              </w:rPr>
            </w:pPr>
            <w:r>
              <w:rPr>
                <w:rFonts w:ascii="標楷體" w:eastAsia="標楷體" w:hAnsi="標楷體" w:cs="新細明體, PMingLiU"/>
                <w:b/>
                <w:bCs/>
              </w:rPr>
              <w:t>八、履約階段及驗收</w:t>
            </w:r>
          </w:p>
        </w:tc>
      </w:tr>
      <w:tr w:rsidR="00363EA9" w:rsidTr="006D0D69">
        <w:tblPrEx>
          <w:tblCellMar>
            <w:top w:w="0" w:type="dxa"/>
            <w:bottom w:w="0" w:type="dxa"/>
          </w:tblCellMar>
        </w:tblPrEx>
        <w:trPr>
          <w:trHeight w:val="118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lastRenderedPageBreak/>
              <w:t>1</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Standard"/>
              <w:snapToGrid w:val="0"/>
              <w:spacing w:line="340" w:lineRule="exact"/>
              <w:jc w:val="both"/>
              <w:rPr>
                <w:rFonts w:ascii="標楷體" w:eastAsia="標楷體" w:hAnsi="標楷體" w:cs="標楷體"/>
              </w:rPr>
            </w:pPr>
            <w:r>
              <w:rPr>
                <w:rFonts w:ascii="標楷體" w:eastAsia="標楷體" w:hAnsi="標楷體" w:cs="標楷體"/>
              </w:rPr>
              <w:t>指派承辦人擔任主驗人員。</w:t>
            </w:r>
          </w:p>
          <w:p w:rsidR="00363EA9" w:rsidRDefault="00363EA9" w:rsidP="006D0D69">
            <w:pPr>
              <w:pStyle w:val="Standard"/>
              <w:snapToGrid w:val="0"/>
              <w:spacing w:line="0" w:lineRule="atLeast"/>
              <w:jc w:val="both"/>
              <w:rPr>
                <w:rFonts w:ascii="標楷體" w:eastAsia="標楷體" w:hAnsi="標楷體" w:cs="標楷體"/>
              </w:rPr>
            </w:pP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snapToGrid w:val="0"/>
              <w:spacing w:line="0" w:lineRule="atLeast"/>
              <w:jc w:val="both"/>
              <w:rPr>
                <w:rFonts w:ascii="標楷體" w:eastAsia="標楷體" w:hAnsi="標楷體" w:cs="標楷體"/>
              </w:rPr>
            </w:pPr>
            <w:r>
              <w:rPr>
                <w:rFonts w:ascii="標楷體" w:eastAsia="標楷體" w:hAnsi="標楷體" w:cs="標楷體"/>
              </w:rPr>
              <w:t>採購法第71條第3項及工程委員會88年7月8日工程企字第8809612號函</w:t>
            </w:r>
          </w:p>
        </w:tc>
      </w:tr>
      <w:tr w:rsidR="00363EA9" w:rsidTr="006D0D69">
        <w:tblPrEx>
          <w:tblCellMar>
            <w:top w:w="0" w:type="dxa"/>
            <w:bottom w:w="0" w:type="dxa"/>
          </w:tblCellMar>
        </w:tblPrEx>
        <w:trPr>
          <w:trHeight w:val="67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2</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Standard"/>
              <w:spacing w:line="300" w:lineRule="exact"/>
              <w:jc w:val="both"/>
            </w:pPr>
            <w:r>
              <w:rPr>
                <w:rFonts w:ascii="標楷體" w:eastAsia="標楷體" w:hAnsi="標楷體" w:cs="新細明體, PMingLiU"/>
              </w:rPr>
              <w:t>未辦理驗收作業；</w:t>
            </w:r>
            <w:r>
              <w:rPr>
                <w:rFonts w:ascii="標楷體" w:eastAsia="標楷體" w:hAnsi="標楷體" w:cs="標楷體"/>
              </w:rPr>
              <w:t>無簽派驗收人員</w:t>
            </w:r>
            <w:r>
              <w:rPr>
                <w:rFonts w:ascii="標楷體" w:eastAsia="標楷體" w:hAnsi="標楷體" w:cs="新細明體, PMingLiU"/>
              </w:rPr>
              <w:t>。</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spacing w:line="300" w:lineRule="exact"/>
              <w:jc w:val="both"/>
              <w:rPr>
                <w:rFonts w:ascii="標楷體" w:eastAsia="標楷體" w:hAnsi="標楷體" w:cs="新細明體, PMingLiU"/>
              </w:rPr>
            </w:pPr>
            <w:r>
              <w:rPr>
                <w:rFonts w:ascii="標楷體" w:eastAsia="標楷體" w:hAnsi="標楷體" w:cs="新細明體, PMingLiU"/>
              </w:rPr>
              <w:t>採購法第71條、契約規定</w:t>
            </w:r>
          </w:p>
        </w:tc>
      </w:tr>
      <w:tr w:rsidR="00363EA9" w:rsidTr="006D0D69">
        <w:tblPrEx>
          <w:tblCellMar>
            <w:top w:w="0" w:type="dxa"/>
            <w:bottom w:w="0" w:type="dxa"/>
          </w:tblCellMar>
        </w:tblPrEx>
        <w:trPr>
          <w:trHeight w:val="1094"/>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3</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Standard"/>
              <w:spacing w:line="300" w:lineRule="exact"/>
              <w:jc w:val="both"/>
              <w:rPr>
                <w:rFonts w:ascii="標楷體" w:eastAsia="標楷體" w:hAnsi="標楷體" w:cs="標楷體"/>
              </w:rPr>
            </w:pPr>
            <w:r>
              <w:rPr>
                <w:rFonts w:ascii="標楷體" w:eastAsia="標楷體" w:hAnsi="標楷體" w:cs="標楷體"/>
              </w:rPr>
              <w:t>驗收時未簽請機關首長或其授權人員指派主驗人員。</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採購法第72條第2項</w:t>
            </w:r>
          </w:p>
        </w:tc>
      </w:tr>
      <w:tr w:rsidR="00363EA9" w:rsidTr="006D0D69">
        <w:tblPrEx>
          <w:tblCellMar>
            <w:top w:w="0" w:type="dxa"/>
            <w:bottom w:w="0" w:type="dxa"/>
          </w:tblCellMar>
        </w:tblPrEx>
        <w:trPr>
          <w:trHeight w:val="547"/>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4</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Standard"/>
              <w:spacing w:line="300" w:lineRule="exact"/>
              <w:jc w:val="both"/>
              <w:rPr>
                <w:rFonts w:ascii="標楷體" w:eastAsia="標楷體" w:hAnsi="標楷體" w:cs="標楷體"/>
              </w:rPr>
            </w:pPr>
            <w:r>
              <w:rPr>
                <w:rFonts w:ascii="標楷體" w:eastAsia="標楷體" w:hAnsi="標楷體" w:cs="標楷體"/>
              </w:rPr>
              <w:t>驗收作業未依規定期限內辦理驗收。</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spacing w:line="300" w:lineRule="exact"/>
              <w:jc w:val="both"/>
              <w:rPr>
                <w:rFonts w:ascii="標楷體" w:eastAsia="標楷體" w:hAnsi="標楷體" w:cs="標楷體"/>
              </w:rPr>
            </w:pPr>
            <w:r>
              <w:rPr>
                <w:rFonts w:ascii="標楷體" w:eastAsia="標楷體" w:hAnsi="標楷體" w:cs="標楷體"/>
              </w:rPr>
              <w:t>政府採購行為錯誤態樣十二、（十二）</w:t>
            </w:r>
          </w:p>
        </w:tc>
      </w:tr>
      <w:tr w:rsidR="00363EA9" w:rsidTr="006D0D69">
        <w:tblPrEx>
          <w:tblCellMar>
            <w:top w:w="0" w:type="dxa"/>
            <w:bottom w:w="0" w:type="dxa"/>
          </w:tblCellMar>
        </w:tblPrEx>
        <w:trPr>
          <w:trHeight w:val="702"/>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5</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Standard"/>
              <w:snapToGrid w:val="0"/>
              <w:spacing w:line="0" w:lineRule="atLeast"/>
              <w:jc w:val="both"/>
            </w:pPr>
            <w:r>
              <w:rPr>
                <w:rFonts w:ascii="標楷體" w:eastAsia="標楷體" w:hAnsi="標楷體" w:cs="標楷體"/>
              </w:rPr>
              <w:t>契約文件包括內容未依</w:t>
            </w:r>
            <w:r>
              <w:rPr>
                <w:rFonts w:ascii="標楷體" w:eastAsia="標楷體" w:hAnsi="標楷體" w:cs="新細明體, PMingLiU"/>
              </w:rPr>
              <w:t>採購契約規定辦理。</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Standard"/>
              <w:snapToGrid w:val="0"/>
              <w:spacing w:line="0" w:lineRule="atLeast"/>
              <w:jc w:val="both"/>
              <w:rPr>
                <w:rFonts w:ascii="標楷體" w:eastAsia="標楷體" w:hAnsi="標楷體" w:cs="標楷體"/>
              </w:rPr>
            </w:pPr>
            <w:r>
              <w:rPr>
                <w:rFonts w:ascii="標楷體" w:eastAsia="標楷體" w:hAnsi="標楷體" w:cs="標楷體"/>
              </w:rPr>
              <w:t>採購契約要項第第1條</w:t>
            </w:r>
          </w:p>
        </w:tc>
      </w:tr>
      <w:tr w:rsidR="00363EA9" w:rsidTr="006D0D69">
        <w:tblPrEx>
          <w:tblCellMar>
            <w:top w:w="0" w:type="dxa"/>
            <w:bottom w:w="0" w:type="dxa"/>
          </w:tblCellMar>
        </w:tblPrEx>
        <w:trPr>
          <w:trHeight w:val="390"/>
        </w:trPr>
        <w:tc>
          <w:tcPr>
            <w:tcW w:w="9782" w:type="dxa"/>
            <w:gridSpan w:val="3"/>
            <w:tcBorders>
              <w:left w:val="single" w:sz="12" w:space="0" w:color="000000"/>
              <w:bottom w:val="single" w:sz="4" w:space="0" w:color="000000"/>
              <w:right w:val="single" w:sz="12" w:space="0" w:color="000000"/>
            </w:tcBorders>
            <w:shd w:val="clear" w:color="auto" w:fill="CCFFCC"/>
            <w:tcMar>
              <w:top w:w="0" w:type="dxa"/>
              <w:left w:w="28" w:type="dxa"/>
              <w:bottom w:w="0" w:type="dxa"/>
              <w:right w:w="28" w:type="dxa"/>
            </w:tcMar>
            <w:vAlign w:val="center"/>
          </w:tcPr>
          <w:p w:rsidR="00363EA9" w:rsidRDefault="00363EA9" w:rsidP="006D0D69">
            <w:pPr>
              <w:pStyle w:val="Standard"/>
              <w:widowControl/>
              <w:jc w:val="both"/>
              <w:rPr>
                <w:rFonts w:ascii="標楷體" w:eastAsia="標楷體" w:hAnsi="標楷體" w:cs="新細明體, PMingLiU"/>
                <w:b/>
                <w:bCs/>
              </w:rPr>
            </w:pPr>
            <w:r>
              <w:rPr>
                <w:rFonts w:ascii="標楷體" w:eastAsia="標楷體" w:hAnsi="標楷體" w:cs="新細明體, PMingLiU"/>
                <w:b/>
                <w:bCs/>
              </w:rPr>
              <w:t>九、最有利標之執行缺失</w:t>
            </w:r>
          </w:p>
        </w:tc>
      </w:tr>
      <w:tr w:rsidR="00363EA9" w:rsidTr="006D0D69">
        <w:tblPrEx>
          <w:tblCellMar>
            <w:top w:w="0" w:type="dxa"/>
            <w:bottom w:w="0" w:type="dxa"/>
          </w:tblCellMar>
        </w:tblPrEx>
        <w:trPr>
          <w:trHeight w:val="73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snapToGrid w:val="0"/>
              <w:jc w:val="center"/>
              <w:rPr>
                <w:rFonts w:ascii="標楷體" w:eastAsia="標楷體" w:hAnsi="標楷體" w:cs="標楷體"/>
                <w:b/>
                <w:bCs/>
              </w:rPr>
            </w:pPr>
          </w:p>
          <w:p w:rsidR="00363EA9" w:rsidRDefault="00363EA9" w:rsidP="006D0D69">
            <w:pPr>
              <w:pStyle w:val="Standard"/>
              <w:jc w:val="center"/>
              <w:rPr>
                <w:rFonts w:ascii="標楷體" w:eastAsia="標楷體" w:hAnsi="標楷體" w:cs="標楷體"/>
              </w:rPr>
            </w:pPr>
          </w:p>
          <w:p w:rsidR="00363EA9" w:rsidRDefault="00363EA9" w:rsidP="006D0D69">
            <w:pPr>
              <w:pStyle w:val="Standard"/>
              <w:jc w:val="center"/>
              <w:rPr>
                <w:rFonts w:ascii="標楷體" w:eastAsia="標楷體" w:hAnsi="標楷體" w:cs="標楷體"/>
              </w:rPr>
            </w:pPr>
            <w:r>
              <w:rPr>
                <w:rFonts w:ascii="標楷體" w:eastAsia="標楷體" w:hAnsi="標楷體" w:cs="標楷體"/>
              </w:rPr>
              <w:t>1</w:t>
            </w:r>
          </w:p>
          <w:p w:rsidR="00363EA9" w:rsidRDefault="00363EA9" w:rsidP="006D0D69">
            <w:pPr>
              <w:pStyle w:val="Standard"/>
              <w:jc w:val="center"/>
              <w:rPr>
                <w:rFonts w:ascii="標楷體" w:eastAsia="標楷體" w:hAnsi="標楷體" w:cs="標楷體"/>
              </w:rPr>
            </w:pPr>
          </w:p>
          <w:p w:rsidR="00363EA9" w:rsidRDefault="00363EA9" w:rsidP="006D0D69">
            <w:pPr>
              <w:pStyle w:val="Standard"/>
              <w:jc w:val="center"/>
              <w:rPr>
                <w:rFonts w:ascii="標楷體" w:eastAsia="標楷體" w:hAnsi="標楷體" w:cs="標楷體"/>
              </w:rPr>
            </w:pP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準用最有利標辦理評選優勝廠商者，後續洽優勝廠商議價，其採訂定底價者，未於評選優勝廠商後議價前參考廠商之報價訂定底價；其採不訂底價者，未成立評審委員會（得以採購評選委員會代之）辦理提出建議金額事宜。</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政府採購法施行細則第54條第3項、第74條、第75條。</w:t>
            </w:r>
          </w:p>
        </w:tc>
      </w:tr>
      <w:tr w:rsidR="00363EA9" w:rsidTr="006D0D69">
        <w:tblPrEx>
          <w:tblCellMar>
            <w:top w:w="0" w:type="dxa"/>
            <w:bottom w:w="0" w:type="dxa"/>
          </w:tblCellMar>
        </w:tblPrEx>
        <w:trPr>
          <w:trHeight w:val="73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2</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採購評選委員會於開標前成立，簽辦公文未敘明評選項目、評審標準及評定方式是否係屬有前例或條件簡單。</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新細明體, PMingLiU"/>
              </w:rPr>
              <w:t>採購評選委員會組織準則第3條。</w:t>
            </w:r>
          </w:p>
        </w:tc>
      </w:tr>
      <w:tr w:rsidR="00363EA9" w:rsidTr="006D0D69">
        <w:tblPrEx>
          <w:tblCellMar>
            <w:top w:w="0" w:type="dxa"/>
            <w:bottom w:w="0" w:type="dxa"/>
          </w:tblCellMar>
        </w:tblPrEx>
        <w:trPr>
          <w:trHeight w:val="73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3</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機關辦理廠商評選，個別評選委員對廠商之評選結果，明顯異於其他委員，或個別評選委員對廠商於個別評選項目之評選結果，明顯異於其他委員，未提交委員會議決或依委員會決議辦理複評。</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新細明體, PMingLiU"/>
              </w:rPr>
              <w:t>採購評選委員會審議規則第6條</w:t>
            </w:r>
            <w:r>
              <w:rPr>
                <w:rFonts w:ascii="標楷體" w:eastAsia="標楷體" w:hAnsi="標楷體" w:cs="標楷體"/>
              </w:rPr>
              <w:t>第3項</w:t>
            </w:r>
          </w:p>
          <w:p w:rsidR="00363EA9" w:rsidRDefault="00363EA9" w:rsidP="006D0D69">
            <w:pPr>
              <w:pStyle w:val="Default"/>
              <w:jc w:val="both"/>
              <w:rPr>
                <w:rFonts w:ascii="標楷體" w:eastAsia="標楷體" w:hAnsi="標楷體" w:cs="新細明體, PMingLiU"/>
              </w:rPr>
            </w:pPr>
          </w:p>
        </w:tc>
      </w:tr>
      <w:tr w:rsidR="00363EA9" w:rsidTr="006D0D69">
        <w:tblPrEx>
          <w:tblCellMar>
            <w:top w:w="0" w:type="dxa"/>
            <w:bottom w:w="0" w:type="dxa"/>
          </w:tblCellMar>
        </w:tblPrEx>
        <w:trPr>
          <w:trHeight w:val="73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4</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工作小組成員兼任評選委員。為避免角色衝突，工作小組成員不宜兼任評選委員。</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新細明體, PMingLiU"/>
              </w:rPr>
              <w:t>工程會95年2月20日工程企字第09500060030號函。</w:t>
            </w:r>
          </w:p>
        </w:tc>
      </w:tr>
      <w:tr w:rsidR="00363EA9" w:rsidTr="006D0D69">
        <w:tblPrEx>
          <w:tblCellMar>
            <w:top w:w="0" w:type="dxa"/>
            <w:bottom w:w="0" w:type="dxa"/>
          </w:tblCellMar>
        </w:tblPrEx>
        <w:trPr>
          <w:trHeight w:val="73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5</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準用最有利標採固定費用或費率決標者，未依規定程序辦理議價（或議約）程序。</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最有利標作業手冊肆之七、決標程序（三）</w:t>
            </w:r>
          </w:p>
        </w:tc>
      </w:tr>
      <w:tr w:rsidR="00363EA9" w:rsidTr="006D0D69">
        <w:tblPrEx>
          <w:tblCellMar>
            <w:top w:w="0" w:type="dxa"/>
            <w:bottom w:w="0" w:type="dxa"/>
          </w:tblCellMar>
        </w:tblPrEx>
        <w:trPr>
          <w:trHeight w:val="73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snapToGrid w:val="0"/>
              <w:jc w:val="center"/>
              <w:rPr>
                <w:rFonts w:ascii="標楷體" w:eastAsia="標楷體" w:hAnsi="標楷體" w:cs="標楷體"/>
                <w:color w:val="000000"/>
              </w:rPr>
            </w:pPr>
          </w:p>
          <w:p w:rsidR="00363EA9" w:rsidRDefault="00363EA9" w:rsidP="006D0D69">
            <w:pPr>
              <w:pStyle w:val="Standard"/>
              <w:jc w:val="center"/>
              <w:rPr>
                <w:rFonts w:ascii="標楷體" w:eastAsia="標楷體" w:hAnsi="標楷體" w:cs="標楷體"/>
              </w:rPr>
            </w:pPr>
            <w:r>
              <w:rPr>
                <w:rFonts w:ascii="標楷體" w:eastAsia="標楷體" w:hAnsi="標楷體" w:cs="標楷體"/>
              </w:rPr>
              <w:t>6</w:t>
            </w:r>
          </w:p>
          <w:p w:rsidR="00363EA9" w:rsidRDefault="00363EA9" w:rsidP="006D0D69">
            <w:pPr>
              <w:pStyle w:val="Standard"/>
              <w:jc w:val="center"/>
              <w:rPr>
                <w:rFonts w:ascii="標楷體" w:eastAsia="標楷體" w:hAnsi="標楷體" w:cs="標楷體"/>
              </w:rPr>
            </w:pP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標楷體"/>
              </w:rPr>
              <w:t>評選總表或委員評分表有修(塗)改痕跡，卻無人簽名或蓋章。</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採購評選委員會審議規則第6條之1第2項</w:t>
            </w:r>
          </w:p>
        </w:tc>
      </w:tr>
      <w:tr w:rsidR="00363EA9" w:rsidTr="006D0D69">
        <w:tblPrEx>
          <w:tblCellMar>
            <w:top w:w="0" w:type="dxa"/>
            <w:bottom w:w="0" w:type="dxa"/>
          </w:tblCellMar>
        </w:tblPrEx>
        <w:trPr>
          <w:trHeight w:val="73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7</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標楷體"/>
              </w:rPr>
              <w:t>準用最有利標或取最有利標精神採購案之決標原則誤植為「政府採購法第52條第1項第1款」。 採準用最有</w:t>
            </w:r>
            <w:r>
              <w:rPr>
                <w:rFonts w:ascii="標楷體" w:eastAsia="標楷體" w:hAnsi="標楷體" w:cs="標楷體"/>
              </w:rPr>
              <w:lastRenderedPageBreak/>
              <w:t>利標或取最有利標精神決標，其後續雖有議價程序，惟仍屬最有利標決標，決標應紀錄決標原則為依政府採購法第52 條第1項第3款。</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363EA9" w:rsidRDefault="00363EA9" w:rsidP="006D0D69">
            <w:pPr>
              <w:pStyle w:val="Default"/>
            </w:pPr>
            <w:r>
              <w:rPr>
                <w:rFonts w:ascii="標楷體" w:eastAsia="標楷體" w:hAnsi="標楷體" w:cs="標楷體"/>
              </w:rPr>
              <w:lastRenderedPageBreak/>
              <w:t>97年10月29日政府採購問題座談會(北區)會議紀錄</w:t>
            </w:r>
          </w:p>
        </w:tc>
      </w:tr>
      <w:tr w:rsidR="00363EA9" w:rsidTr="006D0D69">
        <w:tblPrEx>
          <w:tblCellMar>
            <w:top w:w="0" w:type="dxa"/>
            <w:bottom w:w="0" w:type="dxa"/>
          </w:tblCellMar>
        </w:tblPrEx>
        <w:trPr>
          <w:trHeight w:val="73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8</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評選項目之配分或權重不符合規定，例如：簡報及詢答配分或權重逾20﹪；非採固定費用或費率決標，價格納入評選項目者，其配分或權重低於20﹪，或逾50﹪。</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最有利標錯誤行為態樣四、（四）</w:t>
            </w:r>
          </w:p>
        </w:tc>
      </w:tr>
      <w:tr w:rsidR="00363EA9" w:rsidTr="006D0D69">
        <w:tblPrEx>
          <w:tblCellMar>
            <w:top w:w="0" w:type="dxa"/>
            <w:bottom w:w="0" w:type="dxa"/>
          </w:tblCellMar>
        </w:tblPrEx>
        <w:trPr>
          <w:trHeight w:val="1773"/>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snapToGrid w:val="0"/>
              <w:jc w:val="center"/>
              <w:rPr>
                <w:rFonts w:ascii="標楷體" w:eastAsia="標楷體" w:hAnsi="標楷體" w:cs="標楷體"/>
                <w:color w:val="000000"/>
              </w:rPr>
            </w:pPr>
          </w:p>
          <w:p w:rsidR="00363EA9" w:rsidRDefault="00363EA9" w:rsidP="006D0D69">
            <w:pPr>
              <w:pStyle w:val="Standard"/>
              <w:jc w:val="center"/>
              <w:rPr>
                <w:rFonts w:ascii="標楷體" w:eastAsia="標楷體" w:hAnsi="標楷體" w:cs="標楷體"/>
              </w:rPr>
            </w:pPr>
            <w:r>
              <w:rPr>
                <w:rFonts w:ascii="標楷體" w:eastAsia="標楷體" w:hAnsi="標楷體" w:cs="標楷體"/>
              </w:rPr>
              <w:t>9</w:t>
            </w:r>
          </w:p>
          <w:p w:rsidR="00363EA9" w:rsidRDefault="00363EA9" w:rsidP="006D0D69">
            <w:pPr>
              <w:pStyle w:val="Standard"/>
              <w:jc w:val="center"/>
              <w:rPr>
                <w:rFonts w:ascii="標楷體" w:eastAsia="標楷體" w:hAnsi="標楷體" w:cs="標楷體"/>
              </w:rPr>
            </w:pP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準用最有利標決標，開標與評選同日辦理，工作小組未有合理時間分析廠商投標文件之差異性，工作小組之成立流於形式，未能發揮成立之原意，評選委員亦無合理時間審閱服務建議書。</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標楷體"/>
              </w:rPr>
              <w:t>採購評選委員會審議規則第3條、</w:t>
            </w:r>
          </w:p>
          <w:p w:rsidR="00363EA9" w:rsidRDefault="00363EA9" w:rsidP="006D0D69">
            <w:pPr>
              <w:pStyle w:val="Default"/>
              <w:jc w:val="both"/>
            </w:pPr>
            <w:r>
              <w:rPr>
                <w:rFonts w:ascii="標楷體" w:eastAsia="標楷體" w:hAnsi="標楷體" w:cs="標楷體"/>
              </w:rPr>
              <w:t>工程會95年6月8日工程企字第09500213540號函</w:t>
            </w:r>
          </w:p>
        </w:tc>
      </w:tr>
      <w:tr w:rsidR="00363EA9" w:rsidTr="006D0D69">
        <w:tblPrEx>
          <w:tblCellMar>
            <w:top w:w="0" w:type="dxa"/>
            <w:bottom w:w="0" w:type="dxa"/>
          </w:tblCellMar>
        </w:tblPrEx>
        <w:trPr>
          <w:trHeight w:val="570"/>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10</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決標程序違反規定，例如：以公開招標採最有利標決標辦理者，於評定最有利標後，再洽該廠商議價。</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snapToGrid w:val="0"/>
              <w:jc w:val="both"/>
              <w:rPr>
                <w:rFonts w:ascii="標楷體" w:eastAsia="標楷體" w:hAnsi="標楷體" w:cs="標楷體"/>
              </w:rPr>
            </w:pPr>
          </w:p>
          <w:p w:rsidR="00363EA9" w:rsidRDefault="00363EA9" w:rsidP="006D0D69">
            <w:pPr>
              <w:pStyle w:val="Default"/>
              <w:jc w:val="both"/>
              <w:rPr>
                <w:rFonts w:ascii="標楷體" w:eastAsia="標楷體" w:hAnsi="標楷體" w:cs="標楷體"/>
              </w:rPr>
            </w:pPr>
            <w:r>
              <w:rPr>
                <w:rFonts w:ascii="標楷體" w:eastAsia="標楷體" w:hAnsi="標楷體" w:cs="標楷體"/>
              </w:rPr>
              <w:t>最有利標錯誤行為態樣十、（一）</w:t>
            </w:r>
          </w:p>
          <w:p w:rsidR="00363EA9" w:rsidRDefault="00363EA9" w:rsidP="006D0D69">
            <w:pPr>
              <w:pStyle w:val="Default"/>
              <w:jc w:val="both"/>
              <w:rPr>
                <w:rFonts w:ascii="標楷體" w:eastAsia="標楷體" w:hAnsi="標楷體" w:cs="新細明體, PMingLiU"/>
              </w:rPr>
            </w:pPr>
          </w:p>
        </w:tc>
      </w:tr>
      <w:tr w:rsidR="00363EA9" w:rsidTr="006D0D69">
        <w:tblPrEx>
          <w:tblCellMar>
            <w:top w:w="0" w:type="dxa"/>
            <w:bottom w:w="0" w:type="dxa"/>
          </w:tblCellMar>
        </w:tblPrEx>
        <w:trPr>
          <w:trHeight w:val="1274"/>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11</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評選委員建議名單簽陳、發予評選委員函文、開會通知單及會議紀錄等有洩密之虞。</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採購評選委員會組職準則第6條、採購評選委員會委員名單保密措施一覽表</w:t>
            </w:r>
          </w:p>
        </w:tc>
      </w:tr>
      <w:tr w:rsidR="00363EA9" w:rsidTr="006D0D69">
        <w:tblPrEx>
          <w:tblCellMar>
            <w:top w:w="0" w:type="dxa"/>
            <w:bottom w:w="0" w:type="dxa"/>
          </w:tblCellMar>
        </w:tblPrEx>
        <w:trPr>
          <w:trHeight w:val="61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12</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各出席委員之評分或序位評比表，未予密封保密。</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最有利標評選辦法第20條第3項</w:t>
            </w:r>
          </w:p>
        </w:tc>
      </w:tr>
      <w:tr w:rsidR="00363EA9" w:rsidTr="006D0D69">
        <w:tblPrEx>
          <w:tblCellMar>
            <w:top w:w="0" w:type="dxa"/>
            <w:bottom w:w="0" w:type="dxa"/>
          </w:tblCellMar>
        </w:tblPrEx>
        <w:trPr>
          <w:trHeight w:val="390"/>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13</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採購評選委員會會議紀錄內容簡略或未製作評選會議紀錄。</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最有利標評選辦法第23條、採購評選委員會審議規則第11條</w:t>
            </w:r>
          </w:p>
        </w:tc>
      </w:tr>
      <w:tr w:rsidR="00363EA9" w:rsidTr="006D0D69">
        <w:tblPrEx>
          <w:tblCellMar>
            <w:top w:w="0" w:type="dxa"/>
            <w:bottom w:w="0" w:type="dxa"/>
          </w:tblCellMar>
        </w:tblPrEx>
        <w:trPr>
          <w:trHeight w:val="630"/>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14</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新細明體, PMingLiU"/>
              </w:rPr>
              <w:t>評選彙總表未依規定載明應紀載事項，例</w:t>
            </w:r>
            <w:r>
              <w:rPr>
                <w:rFonts w:ascii="標楷體" w:eastAsia="標楷體" w:hAnsi="標楷體" w:cs="標楷體"/>
              </w:rPr>
              <w:t>如：未記載各受評廠商標價或委員姓名、職業。</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新細明體, PMingLiU"/>
              </w:rPr>
              <w:t>採購評選委員會審議規則第6條之1</w:t>
            </w:r>
            <w:r>
              <w:rPr>
                <w:rFonts w:ascii="標楷體" w:eastAsia="標楷體" w:hAnsi="標楷體" w:cs="標楷體"/>
              </w:rPr>
              <w:t>第2項</w:t>
            </w:r>
          </w:p>
        </w:tc>
      </w:tr>
      <w:tr w:rsidR="00363EA9" w:rsidTr="006D0D69">
        <w:tblPrEx>
          <w:tblCellMar>
            <w:top w:w="0" w:type="dxa"/>
            <w:bottom w:w="0" w:type="dxa"/>
          </w:tblCellMar>
        </w:tblPrEx>
        <w:trPr>
          <w:trHeight w:val="810"/>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15</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委員會之評選結果未簽報機關首長或其授權人員核定，即先行宣布決標。</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新細明體, PMingLiU"/>
              </w:rPr>
              <w:t>機關異質採購最有利標作業須知第6點、工程會95年8月23日工程企字第09500321480號、97年9月16日工程企字第09700385670號函</w:t>
            </w:r>
          </w:p>
        </w:tc>
      </w:tr>
      <w:tr w:rsidR="00363EA9" w:rsidTr="006D0D69">
        <w:tblPrEx>
          <w:tblCellMar>
            <w:top w:w="0" w:type="dxa"/>
            <w:bottom w:w="0" w:type="dxa"/>
          </w:tblCellMar>
        </w:tblPrEx>
        <w:trPr>
          <w:trHeight w:val="88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16</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新細明體, PMingLiU"/>
              </w:rPr>
              <w:t>評選委員會主持人(召集人)非委員</w:t>
            </w:r>
            <w:r>
              <w:rPr>
                <w:rFonts w:ascii="標楷體" w:eastAsia="標楷體" w:hAnsi="標楷體" w:cs="新細明體, PMingLiU"/>
                <w:b/>
              </w:rPr>
              <w:t>、</w:t>
            </w:r>
            <w:r>
              <w:rPr>
                <w:rFonts w:ascii="標楷體" w:eastAsia="標楷體" w:hAnsi="標楷體" w:cs="新細明體, PMingLiU"/>
              </w:rPr>
              <w:t>評選委員有非核定委員，例如：評選委員未親自出席評選會議，由他人代理；評選會會議由校長主持，但校長未具評選委員身分。</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採購評選委員會審議規則第6條第1項、採購評選委員會組織準則第7條第1項及第2項</w:t>
            </w:r>
          </w:p>
        </w:tc>
      </w:tr>
      <w:tr w:rsidR="00363EA9" w:rsidTr="006D0D69">
        <w:tblPrEx>
          <w:tblCellMar>
            <w:top w:w="0" w:type="dxa"/>
            <w:bottom w:w="0" w:type="dxa"/>
          </w:tblCellMar>
        </w:tblPrEx>
        <w:trPr>
          <w:trHeight w:val="300"/>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17</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評選委員未簽報機關首長或其授權人員核定。</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採購評選委員會組織準則第4條</w:t>
            </w:r>
            <w:r>
              <w:rPr>
                <w:rFonts w:ascii="標楷體" w:eastAsia="標楷體" w:hAnsi="標楷體" w:cs="新細明體, PMingLiU"/>
              </w:rPr>
              <w:lastRenderedPageBreak/>
              <w:t>第3項</w:t>
            </w:r>
          </w:p>
        </w:tc>
      </w:tr>
      <w:tr w:rsidR="00363EA9" w:rsidTr="006D0D69">
        <w:tblPrEx>
          <w:tblCellMar>
            <w:top w:w="0" w:type="dxa"/>
            <w:bottom w:w="0" w:type="dxa"/>
          </w:tblCellMar>
        </w:tblPrEx>
        <w:trPr>
          <w:trHeight w:val="40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lastRenderedPageBreak/>
              <w:t>18</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工作小組成員未經機關首長或其授權人員指定，且未擬具初審意見供評選委員會參考。</w:t>
            </w:r>
          </w:p>
          <w:p w:rsidR="00363EA9" w:rsidRDefault="00363EA9" w:rsidP="006D0D69">
            <w:pPr>
              <w:pStyle w:val="Default"/>
              <w:jc w:val="both"/>
              <w:rPr>
                <w:rFonts w:ascii="標楷體" w:eastAsia="標楷體" w:hAnsi="標楷體" w:cs="新細明體, PMingLiU"/>
              </w:rPr>
            </w:pP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採購評選委員會組織準則第8條第1項、採購評選委員會審議規則第3條</w:t>
            </w:r>
          </w:p>
        </w:tc>
      </w:tr>
      <w:tr w:rsidR="00363EA9" w:rsidTr="006D0D69">
        <w:tblPrEx>
          <w:tblCellMar>
            <w:top w:w="0" w:type="dxa"/>
            <w:bottom w:w="0" w:type="dxa"/>
          </w:tblCellMar>
        </w:tblPrEx>
        <w:trPr>
          <w:trHeight w:val="390"/>
        </w:trPr>
        <w:tc>
          <w:tcPr>
            <w:tcW w:w="9782" w:type="dxa"/>
            <w:gridSpan w:val="3"/>
            <w:tcBorders>
              <w:top w:val="single" w:sz="4" w:space="0" w:color="000000"/>
              <w:left w:val="single" w:sz="12" w:space="0" w:color="000000"/>
              <w:bottom w:val="single" w:sz="4" w:space="0" w:color="000000"/>
              <w:right w:val="single" w:sz="12" w:space="0" w:color="000000"/>
            </w:tcBorders>
            <w:shd w:val="clear" w:color="auto" w:fill="CCFFCC"/>
            <w:tcMar>
              <w:top w:w="0" w:type="dxa"/>
              <w:left w:w="28" w:type="dxa"/>
              <w:bottom w:w="0" w:type="dxa"/>
              <w:right w:w="28" w:type="dxa"/>
            </w:tcMar>
            <w:vAlign w:val="center"/>
          </w:tcPr>
          <w:p w:rsidR="00363EA9" w:rsidRDefault="00363EA9" w:rsidP="006D0D69">
            <w:pPr>
              <w:pStyle w:val="Standard"/>
              <w:widowControl/>
              <w:jc w:val="both"/>
              <w:rPr>
                <w:rFonts w:ascii="標楷體" w:eastAsia="標楷體" w:hAnsi="標楷體" w:cs="新細明體, PMingLiU"/>
                <w:b/>
                <w:bCs/>
              </w:rPr>
            </w:pPr>
            <w:r>
              <w:rPr>
                <w:rFonts w:ascii="標楷體" w:eastAsia="標楷體" w:hAnsi="標楷體" w:cs="新細明體, PMingLiU"/>
                <w:b/>
                <w:bCs/>
              </w:rPr>
              <w:t>十、其他</w:t>
            </w:r>
          </w:p>
        </w:tc>
      </w:tr>
      <w:tr w:rsidR="00363EA9" w:rsidTr="006D0D69">
        <w:tblPrEx>
          <w:tblCellMar>
            <w:top w:w="0" w:type="dxa"/>
            <w:bottom w:w="0" w:type="dxa"/>
          </w:tblCellMar>
        </w:tblPrEx>
        <w:trPr>
          <w:trHeight w:val="465"/>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1</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妨礙採購效率，例如：一再開標流標廢標不知檢討。</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政府採購行為錯誤態樣十三、（四）</w:t>
            </w:r>
          </w:p>
        </w:tc>
      </w:tr>
      <w:tr w:rsidR="00363EA9" w:rsidTr="006D0D69">
        <w:tblPrEx>
          <w:tblCellMar>
            <w:top w:w="0" w:type="dxa"/>
            <w:bottom w:w="0" w:type="dxa"/>
          </w:tblCellMar>
        </w:tblPrEx>
        <w:trPr>
          <w:trHeight w:val="1020"/>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2</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採購文件保存不完整，例如：人員職務異動，未能將採購文件完整移交。</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標楷體"/>
              </w:rPr>
            </w:pPr>
            <w:r>
              <w:rPr>
                <w:rFonts w:ascii="標楷體" w:eastAsia="標楷體" w:hAnsi="標楷體" w:cs="標楷體"/>
              </w:rPr>
              <w:t>採購法第107條、採購法施行細則第112條之2</w:t>
            </w:r>
          </w:p>
        </w:tc>
      </w:tr>
      <w:tr w:rsidR="00363EA9" w:rsidTr="006D0D69">
        <w:tblPrEx>
          <w:tblCellMar>
            <w:top w:w="0" w:type="dxa"/>
            <w:bottom w:w="0" w:type="dxa"/>
          </w:tblCellMar>
        </w:tblPrEx>
        <w:trPr>
          <w:trHeight w:val="1020"/>
        </w:trPr>
        <w:tc>
          <w:tcPr>
            <w:tcW w:w="716" w:type="dxa"/>
            <w:tcBorders>
              <w:top w:val="single" w:sz="4" w:space="0" w:color="000000"/>
              <w:left w:val="single" w:sz="12" w:space="0" w:color="000000"/>
              <w:bottom w:val="single" w:sz="4" w:space="0" w:color="000000"/>
            </w:tcBorders>
            <w:tcMar>
              <w:top w:w="0" w:type="dxa"/>
              <w:left w:w="28" w:type="dxa"/>
              <w:bottom w:w="0" w:type="dxa"/>
              <w:right w:w="28" w:type="dxa"/>
            </w:tcMar>
            <w:vAlign w:val="center"/>
          </w:tcPr>
          <w:p w:rsidR="00363EA9" w:rsidRDefault="00363EA9" w:rsidP="006D0D69">
            <w:pPr>
              <w:pStyle w:val="Standard"/>
              <w:jc w:val="center"/>
              <w:rPr>
                <w:rFonts w:ascii="標楷體" w:eastAsia="標楷體" w:hAnsi="標楷體" w:cs="標楷體"/>
              </w:rPr>
            </w:pPr>
            <w:r>
              <w:rPr>
                <w:rFonts w:ascii="標楷體" w:eastAsia="標楷體" w:hAnsi="標楷體" w:cs="標楷體"/>
              </w:rPr>
              <w:t>3</w:t>
            </w:r>
          </w:p>
        </w:tc>
        <w:tc>
          <w:tcPr>
            <w:tcW w:w="563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363EA9" w:rsidRDefault="00363EA9" w:rsidP="006D0D69">
            <w:pPr>
              <w:pStyle w:val="Default"/>
              <w:jc w:val="both"/>
            </w:pPr>
            <w:r>
              <w:rPr>
                <w:rFonts w:ascii="標楷體" w:eastAsia="標楷體" w:hAnsi="標楷體" w:cs="新細明體, PMingLiU"/>
              </w:rPr>
              <w:t>未將廠商投標文件「服務建議書」納入契約裝訂，業未依規定保留一份「服務建議書」留存。</w:t>
            </w:r>
          </w:p>
        </w:tc>
        <w:tc>
          <w:tcPr>
            <w:tcW w:w="3427"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63EA9" w:rsidRDefault="00363EA9" w:rsidP="006D0D69">
            <w:pPr>
              <w:pStyle w:val="Default"/>
              <w:jc w:val="both"/>
              <w:rPr>
                <w:rFonts w:ascii="標楷體" w:eastAsia="標楷體" w:hAnsi="標楷體" w:cs="新細明體, PMingLiU"/>
              </w:rPr>
            </w:pPr>
            <w:r>
              <w:rPr>
                <w:rFonts w:ascii="標楷體" w:eastAsia="標楷體" w:hAnsi="標楷體" w:cs="新細明體, PMingLiU"/>
              </w:rPr>
              <w:t>行政疏失</w:t>
            </w:r>
          </w:p>
        </w:tc>
      </w:tr>
    </w:tbl>
    <w:p w:rsidR="00363EA9" w:rsidRDefault="00363EA9" w:rsidP="00363EA9">
      <w:pPr>
        <w:pStyle w:val="Standard"/>
        <w:rPr>
          <w:rFonts w:ascii="標楷體" w:eastAsia="標楷體" w:hAnsi="標楷體" w:cs="標楷體"/>
        </w:rPr>
      </w:pPr>
    </w:p>
    <w:p w:rsidR="00363EA9" w:rsidRDefault="00363EA9" w:rsidP="00363EA9">
      <w:pPr>
        <w:pStyle w:val="Standard"/>
        <w:rPr>
          <w:rFonts w:ascii="標楷體" w:eastAsia="標楷體" w:hAnsi="標楷體" w:cs="標楷體"/>
        </w:rPr>
      </w:pPr>
    </w:p>
    <w:p w:rsidR="00363EA9" w:rsidRDefault="00363EA9" w:rsidP="00363EA9">
      <w:pPr>
        <w:pStyle w:val="Standard"/>
        <w:rPr>
          <w:rFonts w:ascii="標楷體" w:eastAsia="標楷體" w:hAnsi="標楷體" w:cs="標楷體"/>
        </w:rPr>
      </w:pPr>
    </w:p>
    <w:p w:rsidR="00B66C22" w:rsidRDefault="00B66C22">
      <w:bookmarkStart w:id="0" w:name="_GoBack"/>
      <w:bookmarkEnd w:id="0"/>
    </w:p>
    <w:sectPr w:rsidR="00B66C22">
      <w:footerReference w:type="default" r:id="rId4"/>
      <w:pgSz w:w="11906" w:h="16838"/>
      <w:pgMar w:top="1440" w:right="1134" w:bottom="1440" w:left="1134" w:header="720"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新細明體, PMingLiU">
    <w:charset w:val="00"/>
    <w:family w:val="roman"/>
    <w:pitch w:val="variable"/>
  </w:font>
  <w:font w:name="標楷體">
    <w:panose1 w:val="03000509000000000000"/>
    <w:charset w:val="88"/>
    <w:family w:val="script"/>
    <w:pitch w:val="fixed"/>
    <w:sig w:usb0="00000003" w:usb1="080E0000" w:usb2="00000016" w:usb3="00000000" w:csb0="00100001" w:csb1="00000000"/>
  </w:font>
  <w:font w:name="DF Kai Shu">
    <w:altName w:val="Arabic Typesetting"/>
    <w:charset w:val="00"/>
    <w:family w:val="script"/>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6E0" w:rsidRDefault="00363EA9">
    <w:pPr>
      <w:pStyle w:val="a4"/>
    </w:pPr>
    <w:r>
      <w:rPr>
        <w:noProof/>
      </w:rPr>
      <mc:AlternateContent>
        <mc:Choice Requires="wps">
          <w:drawing>
            <wp:anchor distT="0" distB="0" distL="114299" distR="114299" simplePos="0" relativeHeight="251659264" behindDoc="0" locked="0" layoutInCell="1" allowOverlap="1">
              <wp:simplePos x="0" y="0"/>
              <wp:positionH relativeFrom="margin">
                <wp:align>center</wp:align>
              </wp:positionH>
              <wp:positionV relativeFrom="paragraph">
                <wp:posOffset>635</wp:posOffset>
              </wp:positionV>
              <wp:extent cx="64135" cy="146050"/>
              <wp:effectExtent l="0" t="0" r="0" b="0"/>
              <wp:wrapSquare wrapText="bothSides"/>
              <wp:docPr id="2"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solidFill>
                        <a:srgbClr val="FFFFFF">
                          <a:alpha val="0"/>
                        </a:srgbClr>
                      </a:solidFill>
                    </wps:spPr>
                    <wps:txbx>
                      <w:txbxContent>
                        <w:p w:rsidR="007666E0" w:rsidRDefault="00363EA9">
                          <w:pPr>
                            <w:pStyle w:val="a4"/>
                          </w:pPr>
                          <w:r>
                            <w:rPr>
                              <w:rStyle w:val="a6"/>
                            </w:rPr>
                            <w:fldChar w:fldCharType="begin"/>
                          </w:r>
                          <w:r>
                            <w:rPr>
                              <w:rStyle w:val="a6"/>
                            </w:rPr>
                            <w:instrText xml:space="preserve"> PAGE </w:instrText>
                          </w:r>
                          <w:r>
                            <w:rPr>
                              <w:rStyle w:val="a6"/>
                            </w:rPr>
                            <w:fldChar w:fldCharType="separate"/>
                          </w:r>
                          <w:r>
                            <w:rPr>
                              <w:rStyle w:val="a6"/>
                              <w:noProof/>
                            </w:rPr>
                            <w:t>8</w:t>
                          </w:r>
                          <w:r>
                            <w:rPr>
                              <w:rStyle w:val="a6"/>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0;margin-top:.05pt;width:5.05pt;height:11.5pt;z-index:251659264;visibility:visible;mso-wrap-style:non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" stroked="f">
              <v:fill opacity="0"/>
              <v:path arrowok="t"/>
              <v:textbox style="mso-fit-shape-to-text:t" inset="0,0,0,0">
                <w:txbxContent>
                  <w:p w:rsidR="007666E0" w:rsidRDefault="00363EA9">
                    <w:pPr>
                      <w:pStyle w:val="a4"/>
                    </w:pPr>
                    <w:r>
                      <w:rPr>
                        <w:rStyle w:val="a6"/>
                      </w:rPr>
                      <w:fldChar w:fldCharType="begin"/>
                    </w:r>
                    <w:r>
                      <w:rPr>
                        <w:rStyle w:val="a6"/>
                      </w:rPr>
                      <w:instrText xml:space="preserve"> PAGE </w:instrText>
                    </w:r>
                    <w:r>
                      <w:rPr>
                        <w:rStyle w:val="a6"/>
                      </w:rPr>
                      <w:fldChar w:fldCharType="separate"/>
                    </w:r>
                    <w:r>
                      <w:rPr>
                        <w:rStyle w:val="a6"/>
                        <w:noProof/>
                      </w:rPr>
                      <w:t>8</w:t>
                    </w:r>
                    <w:r>
                      <w:rPr>
                        <w:rStyle w:val="a6"/>
                      </w:rPr>
                      <w:fldChar w:fldCharType="end"/>
                    </w:r>
                  </w:p>
                </w:txbxContent>
              </v:textbox>
              <w10:wrap type="square"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A9"/>
    <w:rsid w:val="00363EA9"/>
    <w:rsid w:val="00B66C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6936816-25E5-482D-96F5-D576CBD3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63EA9"/>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63EA9"/>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a3">
    <w:name w:val="說明"/>
    <w:basedOn w:val="Standard"/>
    <w:rsid w:val="00363EA9"/>
    <w:pPr>
      <w:snapToGrid w:val="0"/>
      <w:spacing w:line="400" w:lineRule="exact"/>
      <w:ind w:left="964" w:hanging="964"/>
      <w:jc w:val="both"/>
    </w:pPr>
    <w:rPr>
      <w:rFonts w:eastAsia="標楷體"/>
      <w:sz w:val="32"/>
      <w:szCs w:val="20"/>
    </w:rPr>
  </w:style>
  <w:style w:type="paragraph" w:customStyle="1" w:styleId="Default">
    <w:name w:val="Default"/>
    <w:rsid w:val="00363EA9"/>
    <w:pPr>
      <w:widowControl w:val="0"/>
      <w:suppressAutoHyphens/>
      <w:autoSpaceDE w:val="0"/>
      <w:autoSpaceDN w:val="0"/>
      <w:textAlignment w:val="baseline"/>
    </w:pPr>
    <w:rPr>
      <w:rFonts w:ascii="DF Kai Shu" w:eastAsia="DF Kai Shu" w:hAnsi="DF Kai Shu" w:cs="Times New Roman"/>
      <w:color w:val="000000"/>
      <w:kern w:val="3"/>
      <w:szCs w:val="24"/>
    </w:rPr>
  </w:style>
  <w:style w:type="paragraph" w:styleId="a4">
    <w:name w:val="footer"/>
    <w:basedOn w:val="Standard"/>
    <w:link w:val="a5"/>
    <w:rsid w:val="00363EA9"/>
    <w:pPr>
      <w:tabs>
        <w:tab w:val="center" w:pos="4153"/>
        <w:tab w:val="right" w:pos="8306"/>
      </w:tabs>
      <w:snapToGrid w:val="0"/>
    </w:pPr>
    <w:rPr>
      <w:sz w:val="20"/>
      <w:szCs w:val="20"/>
    </w:rPr>
  </w:style>
  <w:style w:type="character" w:customStyle="1" w:styleId="a5">
    <w:name w:val="頁尾 字元"/>
    <w:basedOn w:val="a0"/>
    <w:link w:val="a4"/>
    <w:rsid w:val="00363EA9"/>
    <w:rPr>
      <w:rFonts w:ascii="Times New Roman" w:eastAsia="新細明體, PMingLiU" w:hAnsi="Times New Roman" w:cs="Times New Roman"/>
      <w:kern w:val="3"/>
      <w:sz w:val="20"/>
      <w:szCs w:val="20"/>
    </w:rPr>
  </w:style>
  <w:style w:type="paragraph" w:customStyle="1" w:styleId="Textbodyindent">
    <w:name w:val="Text body indent"/>
    <w:basedOn w:val="Standard"/>
    <w:rsid w:val="00363EA9"/>
    <w:pPr>
      <w:spacing w:line="560" w:lineRule="exact"/>
      <w:ind w:left="910" w:hanging="910"/>
    </w:pPr>
    <w:rPr>
      <w:rFonts w:eastAsia="標楷體"/>
      <w:sz w:val="32"/>
    </w:rPr>
  </w:style>
  <w:style w:type="character" w:styleId="a6">
    <w:name w:val="page number"/>
    <w:basedOn w:val="a0"/>
    <w:rsid w:val="00363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825</Words>
  <Characters>4709</Characters>
  <Application>Microsoft Office Word</Application>
  <DocSecurity>0</DocSecurity>
  <Lines>39</Lines>
  <Paragraphs>11</Paragraphs>
  <ScaleCrop>false</ScaleCrop>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秘書處</dc:creator>
  <cp:keywords/>
  <dc:description/>
  <cp:lastModifiedBy>秘書處</cp:lastModifiedBy>
  <cp:revision>1</cp:revision>
  <dcterms:created xsi:type="dcterms:W3CDTF">2017-05-03T00:21:00Z</dcterms:created>
  <dcterms:modified xsi:type="dcterms:W3CDTF">2017-05-03T00:21:00Z</dcterms:modified>
</cp:coreProperties>
</file>